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D8850" w14:textId="7F2B7984" w:rsidR="001F504E" w:rsidRPr="00E74403" w:rsidRDefault="00E74403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>REPUBLIKA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SRPSKA</w:t>
      </w:r>
    </w:p>
    <w:p w14:paraId="0C5325F4" w14:textId="3F8E699F" w:rsidR="001F504E" w:rsidRPr="00E74403" w:rsidRDefault="00E74403" w:rsidP="001F504E">
      <w:pPr>
        <w:keepNext/>
        <w:widowControl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eastAsia="Times New Roman" w:hAnsi="Times New Roman"/>
          <w:b/>
          <w:sz w:val="28"/>
          <w:szCs w:val="28"/>
          <w:lang w:val="sr-Cyrl-BA"/>
        </w:rPr>
        <w:t>VLADA</w:t>
      </w:r>
    </w:p>
    <w:p w14:paraId="21C2690C" w14:textId="77777777" w:rsidR="0071451D" w:rsidRPr="00E74403" w:rsidRDefault="0071451D" w:rsidP="0071451D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862BDA7" w14:textId="58F15F72" w:rsidR="001F504E" w:rsidRPr="00E74403" w:rsidRDefault="0071451D" w:rsidP="0071451D">
      <w:pPr>
        <w:tabs>
          <w:tab w:val="center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ab/>
      </w:r>
      <w:r w:rsidR="0010084D" w:rsidRPr="00E74403">
        <w:rPr>
          <w:rFonts w:ascii="Times New Roman" w:hAnsi="Times New Roman"/>
          <w:b/>
          <w:sz w:val="28"/>
          <w:szCs w:val="28"/>
          <w:lang w:val="sr-Cyrl-BA"/>
        </w:rPr>
        <w:t>E</w:t>
      </w:r>
    </w:p>
    <w:p w14:paraId="3EE77ED7" w14:textId="77777777" w:rsidR="00CC3B7F" w:rsidRPr="00E74403" w:rsidRDefault="00CC3B7F" w:rsidP="000C2C09">
      <w:pPr>
        <w:tabs>
          <w:tab w:val="center" w:pos="774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F129A96" w14:textId="3758A2AB" w:rsidR="0082394B" w:rsidRPr="00E74403" w:rsidRDefault="0071451D" w:rsidP="0071451D">
      <w:pPr>
        <w:tabs>
          <w:tab w:val="center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ab/>
      </w:r>
      <w:r w:rsidR="00E74403" w:rsidRPr="00E74403">
        <w:rPr>
          <w:rFonts w:ascii="Times New Roman" w:hAnsi="Times New Roman"/>
          <w:b/>
          <w:sz w:val="28"/>
          <w:szCs w:val="28"/>
          <w:lang w:val="sr-Cyrl-BA"/>
        </w:rPr>
        <w:t>PRIJEDLOG</w:t>
      </w:r>
    </w:p>
    <w:p w14:paraId="07C1747E" w14:textId="77777777" w:rsidR="001F504E" w:rsidRPr="00E74403" w:rsidRDefault="001F504E" w:rsidP="001F504E">
      <w:pPr>
        <w:tabs>
          <w:tab w:val="left" w:pos="756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39EACF7" w14:textId="5C467783" w:rsidR="001F504E" w:rsidRPr="00E74403" w:rsidRDefault="00A37E28" w:rsidP="001F504E">
      <w:pPr>
        <w:tabs>
          <w:tab w:val="left" w:pos="756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14:paraId="195E3322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DDC6A0E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BDD7899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F55989A" w14:textId="07777FA4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CE80ED5" w14:textId="5B656E70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79D2CDA1" w14:textId="626028D8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7278B4E" w14:textId="3BEC397D" w:rsidR="001F504E" w:rsidRPr="00E74403" w:rsidRDefault="00E74403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>ZAKON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14:paraId="331805E1" w14:textId="44450FF5" w:rsidR="001F504E" w:rsidRPr="00E74403" w:rsidRDefault="00E74403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MEĐUBANKARSKIM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NAKNADAMA</w:t>
      </w:r>
      <w:r w:rsidR="00D50DF1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KOD</w:t>
      </w:r>
      <w:r w:rsidR="00D50DF1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PLATNIH</w:t>
      </w:r>
      <w:r w:rsidR="00D50DF1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TRANSAKCIJA</w:t>
      </w:r>
      <w:r w:rsidR="00D50DF1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NA</w:t>
      </w:r>
      <w:r w:rsidR="00D50DF1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OSNOVU</w:t>
      </w:r>
      <w:r w:rsidR="00D50DF1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PLATNIH</w:t>
      </w:r>
      <w:r w:rsidR="00D50DF1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KARTICA</w:t>
      </w:r>
    </w:p>
    <w:p w14:paraId="3BA65AB6" w14:textId="77777777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77F2C703" w14:textId="77777777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37C9C88F" w14:textId="77777777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531FE333" w14:textId="77777777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095BFFC9" w14:textId="77777777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97076D8" w14:textId="77777777" w:rsidR="001F504E" w:rsidRPr="00E74403" w:rsidRDefault="001F504E" w:rsidP="001F5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5A8C187B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B94029F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83562BC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3197907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344B3E6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DB6346D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2064170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5094405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F8367F4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F37EA4F" w14:textId="77777777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F24BD67" w14:textId="395A27A4" w:rsidR="001F504E" w:rsidRPr="00E74403" w:rsidRDefault="001F504E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52AF951F" w14:textId="34F8AF3D" w:rsidR="008A1C07" w:rsidRPr="00E74403" w:rsidRDefault="008A1C07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43677CFE" w14:textId="74330133" w:rsidR="008A1C07" w:rsidRPr="00E74403" w:rsidRDefault="008A1C07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63C1F511" w14:textId="77777777" w:rsidR="008A1C07" w:rsidRPr="00E74403" w:rsidRDefault="008A1C07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0AEC57C5" w14:textId="27EFEA26" w:rsidR="00755950" w:rsidRPr="00E74403" w:rsidRDefault="00755950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39F68C83" w14:textId="77777777" w:rsidR="00755950" w:rsidRPr="00E74403" w:rsidRDefault="00755950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5EC1A67" w14:textId="158A5986" w:rsidR="00B274FC" w:rsidRPr="00E74403" w:rsidRDefault="00B274FC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2F82F70E" w14:textId="21924F3D" w:rsidR="001F504E" w:rsidRPr="00E74403" w:rsidRDefault="00E74403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  <w:sectPr w:rsidR="001F504E" w:rsidRPr="00E74403" w:rsidSect="00E04242">
          <w:footerReference w:type="default" r:id="rId8"/>
          <w:pgSz w:w="11907" w:h="16839" w:code="9"/>
          <w:pgMar w:top="1872" w:right="1440" w:bottom="1152" w:left="1440" w:header="720" w:footer="720" w:gutter="0"/>
          <w:pgNumType w:start="0"/>
          <w:cols w:space="720"/>
          <w:titlePg/>
          <w:docGrid w:linePitch="360"/>
        </w:sect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>Banja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Luka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>,</w:t>
      </w:r>
      <w:r w:rsidR="00A37E28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mart</w:t>
      </w:r>
      <w:r w:rsidR="0059174A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>202</w:t>
      </w:r>
      <w:r w:rsidR="00110CAB" w:rsidRPr="00E74403">
        <w:rPr>
          <w:rFonts w:ascii="Times New Roman" w:hAnsi="Times New Roman"/>
          <w:b/>
          <w:sz w:val="28"/>
          <w:szCs w:val="28"/>
          <w:lang w:val="sr-Cyrl-BA"/>
        </w:rPr>
        <w:t>2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.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godine</w:t>
      </w:r>
    </w:p>
    <w:p w14:paraId="4E4C975F" w14:textId="0351E07D" w:rsidR="001F504E" w:rsidRPr="00E74403" w:rsidRDefault="00E74403" w:rsidP="001F504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lastRenderedPageBreak/>
        <w:t>Prijedlog</w:t>
      </w:r>
    </w:p>
    <w:p w14:paraId="5AD86FC6" w14:textId="22E36A9D" w:rsidR="00755950" w:rsidRPr="00E74403" w:rsidRDefault="00755950" w:rsidP="001F504E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1289B40" w14:textId="4F132E69" w:rsidR="000C2C09" w:rsidRPr="00E74403" w:rsidRDefault="00E74403" w:rsidP="00462C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>ZAKON</w:t>
      </w:r>
    </w:p>
    <w:p w14:paraId="6DEC5A93" w14:textId="1E7AC108" w:rsidR="001F504E" w:rsidRPr="00E74403" w:rsidRDefault="00E74403" w:rsidP="00462C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E74403"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MEĐUBANKARSKIM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NAKNADAMA</w:t>
      </w:r>
      <w:r w:rsidR="001F504E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KOD</w:t>
      </w:r>
      <w:r w:rsidR="001833F0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PLATNIH</w:t>
      </w:r>
      <w:r w:rsidR="001833F0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TRANSAKCIJA</w:t>
      </w:r>
      <w:r w:rsidR="001833F0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NA</w:t>
      </w:r>
      <w:r w:rsidR="001833F0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OSNOVU</w:t>
      </w:r>
      <w:r w:rsidR="001833F0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PLATNIH</w:t>
      </w:r>
      <w:r w:rsidR="001833F0" w:rsidRPr="00E74403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E74403">
        <w:rPr>
          <w:rFonts w:ascii="Times New Roman" w:hAnsi="Times New Roman"/>
          <w:b/>
          <w:sz w:val="28"/>
          <w:szCs w:val="28"/>
          <w:lang w:val="sr-Cyrl-BA"/>
        </w:rPr>
        <w:t>KARTICA</w:t>
      </w:r>
    </w:p>
    <w:p w14:paraId="19F842FF" w14:textId="1D8B080F" w:rsidR="002F43BF" w:rsidRPr="00E74403" w:rsidRDefault="002F43BF" w:rsidP="002F43B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79C0F107" w14:textId="77777777" w:rsidR="00755950" w:rsidRPr="00E74403" w:rsidRDefault="00755950" w:rsidP="002F43B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642EED54" w14:textId="6F199461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Predmet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Zakona</w:t>
      </w:r>
    </w:p>
    <w:p w14:paraId="77538E4C" w14:textId="00370163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1.</w:t>
      </w:r>
    </w:p>
    <w:p w14:paraId="5B86F132" w14:textId="77777777" w:rsidR="00A6340C" w:rsidRPr="00E74403" w:rsidRDefault="00A6340C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62DFE11B" w14:textId="0B25DB25" w:rsidR="00F06F83" w:rsidRPr="00E74403" w:rsidRDefault="00E7440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naplaćuju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izvršavanju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Republici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Srpskoj</w:t>
      </w:r>
      <w:r w:rsidR="001A6B9F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kojih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FF017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F3F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FF017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F017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ovlašćene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organizacije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obavljanje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prometa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smislu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3134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posebna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zasnovanih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41CBAFC3" w14:textId="77777777" w:rsidR="00794160" w:rsidRPr="00E74403" w:rsidRDefault="00794160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3E229558" w14:textId="3CC97401" w:rsidR="00794160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Primjena</w:t>
      </w:r>
      <w:r w:rsidR="0071150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</w:p>
    <w:p w14:paraId="4FC83213" w14:textId="2339957B" w:rsidR="00794160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3F4CF6" w:rsidRPr="00E74403">
        <w:rPr>
          <w:rFonts w:ascii="Times New Roman" w:hAnsi="Times New Roman" w:cs="Times New Roman"/>
          <w:color w:val="auto"/>
          <w:lang w:val="sr-Cyrl-BA"/>
        </w:rPr>
        <w:t xml:space="preserve"> 2</w:t>
      </w:r>
      <w:r w:rsidR="00794160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4E35EC53" w14:textId="79853144" w:rsidR="00794160" w:rsidRPr="00E74403" w:rsidRDefault="00794160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05BFECC0" w14:textId="3CB795B3" w:rsidR="00C05332" w:rsidRPr="00E74403" w:rsidRDefault="00C0533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primjenjuju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jedan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5C26F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obuhvaćeno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predmetom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dozvolu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nadležnog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organa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obavljanje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Federaciji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Bosne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Hercegovine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Brčko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Distriktu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Bosne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Hercegovine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05B81BCD" w14:textId="3E163A5F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</w:t>
      </w:r>
      <w:r w:rsidR="00C05332"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872BE7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primjenjuju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samo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ograničeno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ispunjavaju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najmanje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sljedećih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030F2D51" w14:textId="5701DDB9" w:rsidR="00F06F83" w:rsidRPr="00E74403" w:rsidRDefault="003A6F8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njihovom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pribavljanje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isključivo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prostorijama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ograničene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mreže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prodavaca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robe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neposredno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zaključen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39691F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pribavljanje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vrlo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ograničenog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izbora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011113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784A257C" w14:textId="7E9C0B00" w:rsidR="00F06F83" w:rsidRPr="00E74403" w:rsidRDefault="003A6F8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izdaju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zahtjev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preduzetnika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javnog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sektora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sticanja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dobara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dobavljača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robe</w:t>
      </w:r>
      <w:r w:rsidR="006872F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tome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uređeni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aktom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nadležnog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organa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javnog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sektora</w:t>
      </w:r>
      <w:r w:rsidR="001A6B9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ostvarili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socijalni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fiskalni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ciljevi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4F8CF491" w14:textId="77777777" w:rsidR="00955D2E" w:rsidRPr="00E74403" w:rsidRDefault="00955D2E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6D8F4C71" w14:textId="302BEBB9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Značenje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pojedinih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pojmova</w:t>
      </w:r>
    </w:p>
    <w:p w14:paraId="2D748F3A" w14:textId="6855D3F1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3F4CF6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3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6BA7676E" w14:textId="77777777" w:rsidR="00955D2E" w:rsidRPr="00E74403" w:rsidRDefault="00955D2E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1037CC1E" w14:textId="651971C8" w:rsidR="00AC572A" w:rsidRPr="00E74403" w:rsidRDefault="002C37F0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pojmovi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korišćeni</w:t>
      </w:r>
      <w:r w:rsidR="00C0533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C0533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ovom</w:t>
      </w:r>
      <w:r w:rsidR="00C0533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sljedeće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značenje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>:</w:t>
      </w:r>
    </w:p>
    <w:p w14:paraId="479E56C4" w14:textId="383AA091" w:rsidR="009451F6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neto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ukupan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popusta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olakšica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drugih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podsticaja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kog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drugog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posrednika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povezanim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aktivnostima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umanjen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popusta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olakšica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drugih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podsticaja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kartičnim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sistemima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tim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aktivnostima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</w:p>
    <w:p w14:paraId="20737C11" w14:textId="6A7ED7B0" w:rsidR="009451F6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trgovac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transakcijom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</w:p>
    <w:p w14:paraId="096B4A02" w14:textId="27417DAF" w:rsidR="009451F6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>3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banke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ovlašćene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organizacije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obavljanje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prometa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zakonima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31021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1543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1543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9451F6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7402DA2F" w14:textId="2EFAF80D" w:rsidR="007E523F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4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426B9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6F6881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zaključenim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primaocem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obavezao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izvršavanja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radi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prenosa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072A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2C792467" w14:textId="52742213" w:rsidR="007E523F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5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426B9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6F6881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zaključenim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platiocem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obavezao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izdavanja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iniciranje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izvršavanja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3E76497A" w14:textId="1E3B138F" w:rsidR="007E523F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6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C816B2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korisnik</w:t>
      </w:r>
      <w:r w:rsidR="000663A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0663A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C816B2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0663A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zaključuje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uslugama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predmet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svrhe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nisu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namijenjene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njegovoj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poslovnoj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drugoj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komercijalnoj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djelatnosti</w:t>
      </w:r>
      <w:r w:rsidR="005B09BD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E523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5AEDA0CA" w14:textId="0E564953" w:rsidR="00EB10B4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7</w:t>
      </w:r>
      <w:r w:rsidR="003F4CF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korisnik</w:t>
      </w:r>
      <w:r w:rsidR="003F4C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3F4C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3F4CF6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učesnik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prometu</w:t>
      </w:r>
      <w:r w:rsidR="003F4CF6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pravno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koristi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koristilo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svojstvu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pružaocu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obratilo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radi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korišćenja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tih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EB10B4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693E4C8F" w14:textId="1B61F70F" w:rsidR="000F58A5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8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426B9D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dužnik</w:t>
      </w:r>
      <w:r w:rsidR="0092109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92109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92109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92109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92109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92109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92109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426B9D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pravno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saglasnost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teret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nalog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nema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pravno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nalog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plaćanje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160BE85D" w14:textId="6BAE2D47" w:rsidR="000F58A5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9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23991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povjerilac</w:t>
      </w:r>
      <w:r w:rsidR="00E92C8B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trgovac</w:t>
      </w:r>
      <w:r w:rsidR="00F23991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pravno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predmet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EA42C7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1DDE62A" w14:textId="26A8A5D8" w:rsidR="0007593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10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prenos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njegovo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bez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obzira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</w:p>
    <w:p w14:paraId="18D3C3CF" w14:textId="2AD2E7C5" w:rsidR="0007593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11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jeste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putem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telekomunikacionog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digitalnog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informaciono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>-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tehnološkog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uređaja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softvera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poslovnim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pravilima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korišćenjem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infrastrukture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tih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smatra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</w:t>
      </w:r>
      <w:r w:rsidR="00097B3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engl</w:t>
      </w:r>
      <w:r w:rsidR="003F52AD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>Credit</w:t>
      </w:r>
      <w:r w:rsidR="00097B35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transferom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</w:t>
      </w:r>
      <w:r w:rsidR="00097B3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engl</w:t>
      </w:r>
      <w:r w:rsidR="003F52AD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>Debit</w:t>
      </w:r>
      <w:r w:rsidR="00097B35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transferom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smislu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426B9D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07593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F0B9AEB" w14:textId="0E81B275" w:rsidR="003E3589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12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6D05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6D05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6D05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6D05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koristi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iniciranje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4B42DE1F" w14:textId="5EBF88FE" w:rsidR="003E3589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13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iniciranje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kreditnom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5F50204E" w14:textId="58DAAB4F" w:rsidR="003E3589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14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kreditnom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zadužuje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cijelosti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djelimično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unaprijed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utvrđeni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kalendarski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dan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uslovima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utvrđenim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izdavanju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bez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obzira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kamata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</w:p>
    <w:p w14:paraId="1FF43065" w14:textId="65653B99" w:rsidR="003E3589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15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FA559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A559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iniciranje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debitnom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3E3A0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3E3A0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unaprijed</w:t>
      </w:r>
      <w:r w:rsidR="003E3A0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uplaćenim</w:t>
      </w:r>
      <w:r w:rsidR="003E3A0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sredstvima</w:t>
      </w:r>
      <w:r w:rsidR="003E3A0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>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pripejd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svaku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75F16748" w14:textId="0602DD55" w:rsidR="00832FD5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16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debitnom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kreditnom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832FD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</w:p>
    <w:p w14:paraId="49143821" w14:textId="1851D0DB" w:rsidR="003E3589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strike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17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unaprijed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uplaćenim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sredstvima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pripejd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AB053A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FA559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A559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3E35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kojoj</w:t>
      </w:r>
      <w:r w:rsidR="00C0026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C0026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pohranjen</w:t>
      </w:r>
      <w:r w:rsidR="00C0026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elektronski</w:t>
      </w:r>
      <w:r w:rsidR="00C0026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novac</w:t>
      </w:r>
      <w:r w:rsidR="00C0026C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2DE8AC10" w14:textId="6D816EB2" w:rsidR="00832FD5" w:rsidRPr="00E74403" w:rsidRDefault="001777C6" w:rsidP="00E042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1</w:t>
      </w:r>
      <w:r w:rsidR="00346131" w:rsidRPr="00E74403">
        <w:rPr>
          <w:rFonts w:ascii="Times New Roman" w:hAnsi="Times New Roman"/>
          <w:sz w:val="24"/>
          <w:szCs w:val="24"/>
          <w:lang w:val="sr-Cyrl-BA"/>
        </w:rPr>
        <w:t>8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poslovna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izdata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poslovnim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subjektima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ograničena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upotrebu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samo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poslovne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svrhe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izvršena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njenom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upotrebom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naplaćuju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teret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ovih</w:t>
      </w:r>
      <w:r w:rsidR="008158C9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subjekata</w:t>
      </w:r>
      <w:r w:rsidR="00832FD5" w:rsidRPr="00E74403">
        <w:rPr>
          <w:rFonts w:ascii="Times New Roman" w:hAnsi="Times New Roman"/>
          <w:sz w:val="24"/>
          <w:szCs w:val="24"/>
          <w:lang w:val="sr-Cyrl-BA"/>
        </w:rPr>
        <w:t>,</w:t>
      </w:r>
    </w:p>
    <w:p w14:paraId="521DBDE6" w14:textId="768D750C" w:rsidR="000F58A5" w:rsidRPr="00E74403" w:rsidRDefault="00346131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>19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svaki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materijalni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digitalni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naziv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izraz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oznaka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simbol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njihova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kombinacija</w:t>
      </w:r>
      <w:r w:rsidR="00337967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označava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kojeg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</w:p>
    <w:p w14:paraId="5A0B0375" w14:textId="4D0B4ACE" w:rsidR="000F58A5" w:rsidRPr="00E74403" w:rsidRDefault="0045156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>0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kobrendiranje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uključivanje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najmanje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jednog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najmanje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jednog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istom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zasnovanom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739096B6" w14:textId="03D9D0F5" w:rsidR="000F58A5" w:rsidRPr="00E74403" w:rsidRDefault="0045156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računarski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softver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odgovarajući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ekvivalent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učitan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računaru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mobilnom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telefonu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kom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drugom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uređaju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E07ADA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nalog</w:t>
      </w:r>
      <w:r w:rsidR="000F58A5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0CF2C3F3" w14:textId="7172FCAD" w:rsidR="001777C6" w:rsidRPr="00E74403" w:rsidRDefault="0045156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označava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jedinstven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skup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pravila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praksi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standarda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operativnih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smjernica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izvršavanje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obuhvata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posebno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tijelo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organizaciju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donose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odluke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odgovorni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5853F042" w14:textId="36BE0733" w:rsidR="001777C6" w:rsidRPr="00E74403" w:rsidRDefault="009451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četvorostrani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uz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posredovanje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strani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strani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2734E98C" w14:textId="278AFECE" w:rsidR="001777C6" w:rsidRPr="00E74403" w:rsidRDefault="009451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>4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trostrani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jeste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neposredno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koga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čemu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trostrani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</w:t>
      </w:r>
      <w:r w:rsidR="008158C9" w:rsidRPr="00E74403">
        <w:rPr>
          <w:rFonts w:ascii="Times New Roman" w:hAnsi="Times New Roman" w:cs="Times New Roman"/>
          <w:color w:val="auto"/>
          <w:lang w:val="sr-Cyrl-BA"/>
        </w:rPr>
        <w:t>â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ovlašćenje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ovih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izdaje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partnerom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sporazuma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kobrendiranju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preko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zastupnika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−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smatra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četvorostranim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sistemom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C2441C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1777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33F063F8" w14:textId="4C09622D" w:rsidR="000F58A5" w:rsidRPr="00E74403" w:rsidRDefault="009451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>5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procesor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tehničku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obrade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prenosa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naloga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2837FF35" w14:textId="6CB5F1A9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strike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>6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svaki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računar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mobilni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telefon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tehničko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sredstvo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sadrži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inicira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07464D21" w14:textId="22480CCC" w:rsidR="002F43BF" w:rsidRPr="00E74403" w:rsidRDefault="002D6AE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Pojedini</w:t>
      </w:r>
      <w:r w:rsidR="00D4533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pojmovi</w:t>
      </w:r>
      <w:r w:rsidR="00DC079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DC079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DC079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definisani</w:t>
      </w:r>
      <w:r w:rsidR="00DC079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DC079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zakonima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913E2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imaju</w:t>
      </w:r>
      <w:r w:rsidR="0096048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</w:t>
      </w:r>
      <w:r w:rsidR="0096048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značenje</w:t>
      </w:r>
      <w:r w:rsidR="0096048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6048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96048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ovom</w:t>
      </w:r>
      <w:r w:rsidR="00D4533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zakonu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drugačije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određeno</w:t>
      </w:r>
      <w:r w:rsidR="001665A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="00D4533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D45339" w:rsidRPr="00E74403">
        <w:rPr>
          <w:rFonts w:ascii="Times New Roman" w:hAnsi="Times New Roman" w:cs="Times New Roman"/>
          <w:color w:val="auto"/>
          <w:lang w:val="sr-Cyrl-BA"/>
        </w:rPr>
        <w:t>.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236D0E3" w14:textId="4054D72E" w:rsidR="00D3054E" w:rsidRPr="00E74403" w:rsidRDefault="00D3054E" w:rsidP="0059174A">
      <w:pPr>
        <w:pStyle w:val="Default"/>
        <w:rPr>
          <w:rFonts w:ascii="Times New Roman" w:hAnsi="Times New Roman" w:cs="Times New Roman"/>
          <w:bCs/>
          <w:color w:val="auto"/>
          <w:lang w:val="sr-Cyrl-BA"/>
        </w:rPr>
      </w:pPr>
    </w:p>
    <w:p w14:paraId="2F09994C" w14:textId="6D47201F" w:rsidR="00F3567B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Primjena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drugih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zakona</w:t>
      </w:r>
    </w:p>
    <w:p w14:paraId="1E4AB5D4" w14:textId="470C35CB" w:rsidR="00794160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ED5715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>4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332E48DA" w14:textId="77777777" w:rsidR="00321196" w:rsidRPr="00E74403" w:rsidRDefault="00321196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4EF68264" w14:textId="7A7D5000" w:rsidR="00794160" w:rsidRPr="00E74403" w:rsidRDefault="00E74403" w:rsidP="00D3054E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Na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pitanja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koja</w:t>
      </w:r>
      <w:r w:rsidR="00B274F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nisu</w:t>
      </w:r>
      <w:r w:rsidR="00B274F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uređena</w:t>
      </w:r>
      <w:r w:rsidR="00B274F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ovim</w:t>
      </w:r>
      <w:r w:rsidR="00B274F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zakonom</w:t>
      </w:r>
      <w:r w:rsidR="00B274F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primjenjuju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se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odredbe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zakona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kojima</w:t>
      </w:r>
      <w:r w:rsidR="001D732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se</w:t>
      </w:r>
      <w:r w:rsidR="001D732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uređuju</w:t>
      </w:r>
      <w:r w:rsidR="001D732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unutrašnji</w:t>
      </w:r>
      <w:r w:rsidR="00AE1327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platni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promet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platne</w:t>
      </w:r>
      <w:r w:rsidR="00AE1327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transakcije</w:t>
      </w:r>
      <w:r w:rsidR="00794160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. </w:t>
      </w:r>
    </w:p>
    <w:p w14:paraId="098AC2DD" w14:textId="2D4F6000" w:rsidR="0043648E" w:rsidRPr="00E74403" w:rsidRDefault="0043648E" w:rsidP="00D3054E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</w:p>
    <w:p w14:paraId="61F504A0" w14:textId="1490A242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Međubankarska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naknada</w:t>
      </w:r>
    </w:p>
    <w:p w14:paraId="0FBF6736" w14:textId="321D7465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8D648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>5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3CE74A79" w14:textId="77777777" w:rsidR="000505F6" w:rsidRPr="00E74403" w:rsidRDefault="000505F6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1020E538" w14:textId="3A6D0D3A" w:rsidR="00426B9D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426B9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426B9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označava</w:t>
      </w:r>
      <w:r w:rsidR="006B49B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6B49B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neto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ugovoreni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neposredno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posredno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npr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preko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trećih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učestvuju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izvršenju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5749A4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59063FFA" w14:textId="65172017" w:rsidR="00AC69A0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0,2%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vrijednosti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5FD14138" w14:textId="5527BC0F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 xml:space="preserve">(3)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0,3%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vrijednosti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9BFF4A8" w14:textId="0B64D078" w:rsidR="00F06F83" w:rsidRPr="00E74403" w:rsidRDefault="006B49B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(4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AC69A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AC69A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ponuditi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suprotno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>. 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419BFC6" w14:textId="49887E1B" w:rsidR="006B49B3" w:rsidRPr="00E74403" w:rsidRDefault="006B49B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Radi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ograničenja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>.</w:t>
      </w:r>
      <w:r w:rsidR="00A362B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2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3.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svaki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ugovoreni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neto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predmet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efekat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kog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drugog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posrednika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transakcijama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povezanih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aktivnosti</w:t>
      </w:r>
      <w:r w:rsidR="00B000C3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smatra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dijelom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9632B8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46B10675" w14:textId="73B1A568" w:rsidR="00F06F83" w:rsidRPr="00E74403" w:rsidRDefault="00C7103E" w:rsidP="00E04242">
      <w:pPr>
        <w:pStyle w:val="Default"/>
        <w:ind w:firstLine="709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</w:t>
      </w:r>
      <w:r w:rsidR="00106474" w:rsidRPr="00E74403">
        <w:rPr>
          <w:rFonts w:ascii="Times New Roman" w:hAnsi="Times New Roman" w:cs="Times New Roman"/>
          <w:color w:val="auto"/>
          <w:lang w:val="sr-Cyrl-BA"/>
        </w:rPr>
        <w:t>6</w:t>
      </w:r>
      <w:r w:rsidR="004C23E2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primjenjuju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10519FDB" w14:textId="268D13EC" w:rsidR="00F06F83" w:rsidRPr="00E74403" w:rsidRDefault="00F10D94" w:rsidP="00E04242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isplatu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gotovog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bankomatima</w:t>
      </w:r>
      <w:r w:rsidR="0039691F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šalterima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3969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3969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B9466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prodajnim</w:t>
      </w:r>
      <w:r w:rsidR="00B9466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mjestima</w:t>
      </w:r>
      <w:r w:rsidR="00B9466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3969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primalaca</w:t>
      </w:r>
      <w:r w:rsidR="003969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114E6C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266E56DF" w14:textId="39021157" w:rsidR="00F06F83" w:rsidRPr="00E74403" w:rsidRDefault="00F10D94" w:rsidP="00E04242">
      <w:pPr>
        <w:pStyle w:val="Default"/>
        <w:ind w:firstLine="709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114E6C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2077955" w14:textId="4AC4C5E1" w:rsidR="00A90182" w:rsidRPr="00E74403" w:rsidRDefault="00F10D94" w:rsidP="00E04242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trostrani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3C6A74B" w14:textId="0467A28F" w:rsidR="009E5453" w:rsidRPr="00E74403" w:rsidRDefault="009E545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</w:t>
      </w:r>
      <w:r w:rsidR="00106474" w:rsidRPr="00E74403">
        <w:rPr>
          <w:rFonts w:ascii="Times New Roman" w:hAnsi="Times New Roman" w:cs="Times New Roman"/>
          <w:color w:val="auto"/>
          <w:lang w:val="sr-Cyrl-BA"/>
        </w:rPr>
        <w:t>7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aktivnosti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obrade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prenosa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naloga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plaćanje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procesora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obavezno</w:t>
      </w:r>
      <w:r w:rsidR="00114E6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iskazuju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pojedinačno</w:t>
      </w:r>
      <w:r w:rsidR="00A83123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170CB400" w14:textId="5D1699A1" w:rsidR="00A90182" w:rsidRPr="00E74403" w:rsidRDefault="0010647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(8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dužni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Agenciji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bankarstvo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Republike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Srpske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daljem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tekstu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dostavljaju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podatke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C7103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6677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6677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66771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73F8DE94" w14:textId="65D52775" w:rsidR="00B37B1E" w:rsidRPr="00E74403" w:rsidRDefault="009E5453" w:rsidP="000567B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</w:t>
      </w:r>
      <w:r w:rsidR="00106474" w:rsidRPr="00E74403">
        <w:rPr>
          <w:rFonts w:ascii="Times New Roman" w:hAnsi="Times New Roman" w:cs="Times New Roman"/>
          <w:color w:val="auto"/>
          <w:lang w:val="sr-Cyrl-BA"/>
        </w:rPr>
        <w:t>9</w:t>
      </w:r>
      <w:r w:rsidR="00A90182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4B6DA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donosi</w:t>
      </w:r>
      <w:r w:rsidR="004B6DA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akt</w:t>
      </w:r>
      <w:r w:rsidR="004B6DA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4B6DA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propisuje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sadržinu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rokove</w:t>
      </w:r>
      <w:r w:rsidR="00AC381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dostavljanja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podataka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dužni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joj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dostavljaju</w:t>
      </w:r>
      <w:r w:rsidR="009B40AE" w:rsidRPr="00E74403">
        <w:rPr>
          <w:rFonts w:ascii="Times New Roman" w:hAnsi="Times New Roman" w:cs="Times New Roman"/>
          <w:color w:val="auto"/>
          <w:lang w:val="sr-Cyrl-BA"/>
        </w:rPr>
        <w:t>.</w:t>
      </w:r>
      <w:r w:rsidR="004B6DA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BCBA8D5" w14:textId="77777777" w:rsidR="00346131" w:rsidRPr="00E74403" w:rsidRDefault="00346131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1F5DE5AB" w14:textId="2951D2C9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Izbor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brenda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aplikacije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7040A244" w14:textId="6996AE95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6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A9E000A" w14:textId="77777777" w:rsidR="00C7103E" w:rsidRPr="00E74403" w:rsidRDefault="00C7103E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1A746ADC" w14:textId="3B0F10EC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6E7D3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F342AB2" w14:textId="4A2EFC7E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Pravilima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sličnim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mjerama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spriječiti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0F56F863" w14:textId="45D02601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Prilikom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zaključivanja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usluzi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5C209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5C209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takvu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6839C0C" w14:textId="752AA1D0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5C209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5C209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8A1C4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primjerenom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usluzi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jasne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objektivne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povezana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njihovim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karakteristikama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njihove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mogućnosti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primjenljivost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troškove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mjere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2064709" w14:textId="7D4F4A38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tretmanu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sadržane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pravilima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davanju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odobrenja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pristupanje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sistemu</w:t>
      </w:r>
      <w:r w:rsidR="00930A36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posljedica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uključivanja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3675BC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A5FC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zasnivaju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objektivnim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razlozima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nediskriminaciji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5DFF378" w14:textId="5DDF0C79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(6)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Posebno</w:t>
      </w:r>
      <w:r w:rsidR="00BD108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tijelo</w:t>
      </w:r>
      <w:r w:rsidR="00BD108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BD108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BD108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nametnuti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izvještavanja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slične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ciljem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efektom</w:t>
      </w:r>
      <w:r w:rsidR="00BD1087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korišćenjem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213D3F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uređaja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kome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prisutan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0B8C1C36" w14:textId="6420ADF8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(7)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Načela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usmjeravanja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ekvivalentne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mjere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namijenjene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usmjeravanju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kroz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specifičan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kanal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postupak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6355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tehnički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sigurnosni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standardi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lastRenderedPageBreak/>
        <w:t>zahtjevi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obavezno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nediskriminatorni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primijenjeni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nediskriminatoran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9230063" w14:textId="5B14C8EF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(8)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procesori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tehničkih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opremi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primjenjuje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uspostaviti</w:t>
      </w:r>
      <w:r w:rsidR="00F875C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automatske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mehanizme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softver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ograničio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izbor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0505F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prilikom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6ED2955A" w14:textId="39510CF2" w:rsidR="009E545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(9)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F875C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875C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875C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opremi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upotrebljavati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automatski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mehanizam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vrši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izbor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ali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mu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dozvoljeno</w:t>
      </w:r>
      <w:r w:rsidR="0036711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izabere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odabrani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automatskim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mehanizmom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uslovom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taj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F875C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875C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izabrani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aplikaciju</w:t>
      </w:r>
      <w:r w:rsidR="00D3054E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7539E6FC" w14:textId="0C989D9E" w:rsidR="000567B4" w:rsidRPr="00E74403" w:rsidRDefault="000567B4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06A5A84A" w14:textId="1FEACFD7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Razdvajanje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naknada</w:t>
      </w:r>
    </w:p>
    <w:p w14:paraId="1C35E2EC" w14:textId="019FBF22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7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5A4F2883" w14:textId="77777777" w:rsidR="000505F6" w:rsidRPr="00E74403" w:rsidRDefault="000505F6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29D20CF2" w14:textId="64A6F218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A477435" w14:textId="0F1306B4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slučaju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6D510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obračunati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jedinstvenu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taj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samo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zahtijevao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pisanoj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formi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nakon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prijema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ponude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241FC5B" w14:textId="628FD1CB" w:rsidR="00F06F83" w:rsidRPr="00E74403" w:rsidRDefault="00C7103E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3F1F8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usluzi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primaocem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prikaže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A5FC5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A23EE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E5E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nakon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prijema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ponude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zahtijevao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pisanoj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formi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drugačije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656D0BE" w14:textId="2C3BF118" w:rsidR="0043648E" w:rsidRPr="00E74403" w:rsidRDefault="0043648E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02B5355E" w14:textId="2699D1C7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Pravilo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prihvatanju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svih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kartica</w:t>
      </w:r>
    </w:p>
    <w:p w14:paraId="7CCD1AF5" w14:textId="32E0FF72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8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6390119B" w14:textId="77777777" w:rsidR="00405B22" w:rsidRPr="00E74403" w:rsidRDefault="00405B22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290047BE" w14:textId="6A9B5940" w:rsidR="00F06F83" w:rsidRPr="00E74403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F011A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11A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primaoce</w:t>
      </w:r>
      <w:r w:rsidR="00AB57A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AB57A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samo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ispunjeni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sljedeći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uslovi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0ACD1519" w14:textId="29E53799" w:rsidR="00153492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8A1C44" w:rsidRPr="00E74403">
        <w:rPr>
          <w:rFonts w:ascii="Times New Roman" w:hAnsi="Times New Roman" w:cs="Times New Roman"/>
          <w:color w:val="auto"/>
          <w:lang w:val="sr-Cyrl-BA"/>
        </w:rPr>
        <w:t>),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8AF2816" w14:textId="3A8B2525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potrošačima</w:t>
      </w:r>
      <w:r w:rsidR="008A1C44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72A1C32F" w14:textId="77022916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AB2A41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naplaćuje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F4541" w:rsidRPr="00E74403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42C9D131" w14:textId="363F2156" w:rsidR="00F06F83" w:rsidRPr="00E74403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dovode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pitanje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pružaoca</w:t>
      </w:r>
      <w:r w:rsidR="00F011A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11A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utvrde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odbijene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identiteta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36B2D06" w14:textId="1C7EC8BE" w:rsidR="00F06F83" w:rsidRPr="00E74403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odluči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tome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jasno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nedvosmisleno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obavijesti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istovremeno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davanjem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obavještenja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lastRenderedPageBreak/>
        <w:t>instrumentima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taj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1AB326B" w14:textId="21FC940C" w:rsidR="00F06F83" w:rsidRPr="00E74403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3.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vidno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istakne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ulazu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prodajni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objekat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FBA1AA6" w14:textId="3A8BE4A0" w:rsidR="00F06F83" w:rsidRPr="00E74403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slučaju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trgovine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korišćenjem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komunikacije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daljinu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npr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elektronska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trgovina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3.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objavi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svojoj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internet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stranici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odgovarajućem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elektronskom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mobilnom</w:t>
      </w:r>
      <w:r w:rsidR="00405B2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mediju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čemu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BF454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obavezno</w:t>
      </w:r>
      <w:r w:rsidR="00BF454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primjerenom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552814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nego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što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primaocem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050F823" w14:textId="48439E10" w:rsidR="00755950" w:rsidRPr="00E74403" w:rsidRDefault="00153492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</w:t>
      </w:r>
      <w:r w:rsidR="00F10D94" w:rsidRPr="00E74403">
        <w:rPr>
          <w:rFonts w:ascii="Times New Roman" w:hAnsi="Times New Roman" w:cs="Times New Roman"/>
          <w:color w:val="auto"/>
          <w:lang w:val="sr-Cyrl-BA"/>
        </w:rPr>
        <w:t>6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obezbijedi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bude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elektronski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vizuelno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prepoznatljiv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2E0E7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3781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nedvosmisleno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identifikuju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izabrao</w:t>
      </w:r>
      <w:r w:rsidR="000E0F30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78BB6ED" w14:textId="2C9D4F64" w:rsidR="00346131" w:rsidRPr="00E74403" w:rsidRDefault="00346131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0631F0E0" w14:textId="0D0302F6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Nedozvoljeni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uticaj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primaoca</w:t>
      </w:r>
      <w:r w:rsidR="004B354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plaćanja</w:t>
      </w:r>
      <w:r w:rsidR="004B354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kod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upotrebe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instrumenata</w:t>
      </w:r>
    </w:p>
    <w:p w14:paraId="44F263EB" w14:textId="00DB3859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9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21EFFE19" w14:textId="77777777" w:rsidR="00405B22" w:rsidRPr="00E74403" w:rsidRDefault="00405B22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0EF3C2C0" w14:textId="44DA68AA" w:rsidR="00005E54" w:rsidRPr="00E74403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Pravilima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617E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617E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uticaj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680489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617E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617E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zabraniti</w:t>
      </w:r>
      <w:r w:rsidR="00617E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38830609" w14:textId="4B9E0E6D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usmjeri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5B399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158B4949" w14:textId="477A99CB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617E89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prednost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5B3998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1B8729F9" w14:textId="5DD5E931" w:rsidR="00AB40C8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617E89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obavijesti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C140A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B61EEA1" w14:textId="776F2CAA" w:rsidR="009D0453" w:rsidRPr="00E74403" w:rsidRDefault="00AB40C8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Stavom</w:t>
      </w:r>
      <w:r w:rsidR="009D045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9D045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dovode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pitanje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popustima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mehanizmima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usmjeravanja</w:t>
      </w:r>
      <w:r w:rsidR="00680489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utvrđene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uređen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zaštita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670C60AA" w14:textId="5BBC11FA" w:rsidR="00FE3A20" w:rsidRPr="00E74403" w:rsidRDefault="00E725A8" w:rsidP="00E0424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 xml:space="preserve">(3)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C94C1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ne</w:t>
      </w:r>
      <w:r w:rsidR="00C94C1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može</w:t>
      </w:r>
      <w:r w:rsidR="00C94C1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zaključivanje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ugovora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prihvatanju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izvršavanju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primaocem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uslovi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pružanjem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usluge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povratom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gotovine</w:t>
      </w:r>
      <w:r w:rsidR="00FE3A20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60E55337" w14:textId="05F8E63D" w:rsidR="00E725A8" w:rsidRPr="00E74403" w:rsidRDefault="00E725A8" w:rsidP="00E0424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 xml:space="preserve">(4)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Primalac</w:t>
      </w:r>
      <w:r w:rsidR="003461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3461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ima</w:t>
      </w:r>
      <w:r w:rsidR="003461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pravo</w:t>
      </w:r>
      <w:r w:rsidR="003461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3461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naknadu</w:t>
      </w:r>
      <w:r w:rsidR="003461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3D411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prihvatioca</w:t>
      </w:r>
      <w:r w:rsidR="003D411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="003D411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3D411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pružanja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usluge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povratom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gotovine</w:t>
      </w:r>
      <w:r w:rsidR="00583863" w:rsidRPr="00E74403">
        <w:rPr>
          <w:rFonts w:ascii="Times New Roman" w:hAnsi="Times New Roman"/>
          <w:sz w:val="24"/>
          <w:szCs w:val="24"/>
          <w:lang w:val="sr-Cyrl-BA"/>
        </w:rPr>
        <w:t>,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skladu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zaključenim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ugovorom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prihvatanju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izvršavanju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EA215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bankom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uređuju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obligacioni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odnosi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78CB6150" w14:textId="3BA9365B" w:rsidR="00477DFF" w:rsidRPr="00E74403" w:rsidRDefault="00477DFF" w:rsidP="00477DFF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(5)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B97F7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B97F7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B97F7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B97F7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</w:t>
      </w:r>
      <w:r w:rsidR="00B97F7A" w:rsidRPr="00E74403">
        <w:rPr>
          <w:rFonts w:ascii="Times New Roman" w:hAnsi="Times New Roman" w:cs="Times New Roman"/>
          <w:color w:val="auto"/>
          <w:lang w:val="sr-Cyrl-BA"/>
        </w:rPr>
        <w:t>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informiše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visini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naplaćuje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</w:t>
      </w:r>
      <w:r w:rsidR="009D331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9D331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povratom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gotovine</w:t>
      </w:r>
      <w:r w:rsidR="003D4111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58B64FAD" w14:textId="77777777" w:rsidR="00EF3489" w:rsidRPr="00E74403" w:rsidRDefault="00EF3489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2EEA2967" w14:textId="585F2DC4" w:rsidR="0043648E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primaoca</w:t>
      </w:r>
      <w:r w:rsidR="00FE2238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plaćanja</w:t>
      </w:r>
      <w:r w:rsidR="00FE2238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pojedinačnim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transakcijama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651B92DC" w14:textId="4F8DAC8C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kartica</w:t>
      </w:r>
    </w:p>
    <w:p w14:paraId="6DDDFB27" w14:textId="6E75155E" w:rsidR="00EF3489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10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7F90352" w14:textId="77777777" w:rsidR="00F06F83" w:rsidRPr="00E74403" w:rsidRDefault="00F06F83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/>
          <w:bCs/>
          <w:color w:val="auto"/>
          <w:lang w:val="sr-Cyrl-BA"/>
        </w:rPr>
        <w:t xml:space="preserve"> </w:t>
      </w:r>
    </w:p>
    <w:p w14:paraId="2701603E" w14:textId="6D40E5A5" w:rsidR="00F06F83" w:rsidRPr="00E74403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Nakon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sljedeće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7AD6034F" w14:textId="37BC98EA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referentnu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oznaku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E774D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E774D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identifikaciju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F49F744" w14:textId="18EFAFAA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valuti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izvršeno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plaćanje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korist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računa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E223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539FD86C" w14:textId="6B4A82CB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>3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naznačenim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363E96A7" w14:textId="27FFFC49" w:rsidR="00F06F83" w:rsidRPr="00E74403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zbirno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prikazane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primjenjuju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4312F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4312F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prethodno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dao</w:t>
      </w:r>
      <w:r w:rsidR="004312F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saglasnost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pisanoj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formi</w:t>
      </w:r>
      <w:r w:rsidR="003A5B3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3A5B3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formi</w:t>
      </w:r>
      <w:r w:rsidR="003A5B3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elektronskog</w:t>
      </w:r>
      <w:r w:rsidR="003A5B3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dokumenta</w:t>
      </w:r>
      <w:r w:rsidR="003A5B34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5138BF39" w14:textId="02588ABD" w:rsidR="00755950" w:rsidRPr="00E74403" w:rsidRDefault="00005E54" w:rsidP="0034613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E6086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6086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utvrditi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dostavljaju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čine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dostupnim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periodično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najmanje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mjesečno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ugovoreni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583863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E6086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6086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čuva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reprodukuje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neizmijenjenom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obliku</w:t>
      </w:r>
      <w:r w:rsidR="0043648E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33EC9DD7" w14:textId="77777777" w:rsidR="0043648E" w:rsidRPr="00E74403" w:rsidRDefault="0043648E" w:rsidP="0034613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36BFD35E" w14:textId="3B985462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Zaštita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prava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interesa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korisnika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usluga</w:t>
      </w:r>
      <w:r w:rsidR="008E31B1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781C9E7A" w14:textId="67AEA6EA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>1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CF8ACA5" w14:textId="77777777" w:rsidR="00EF3489" w:rsidRPr="00E74403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6B043FBB" w14:textId="215F3525" w:rsidR="00F06F83" w:rsidRPr="00E74403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pridržavaju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donesenih</w:t>
      </w:r>
      <w:r w:rsidR="0089119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njega</w:t>
      </w:r>
      <w:r w:rsidR="00DF6F70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korisnik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="007254E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7254E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zaštitu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svojih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8E31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8E31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BF454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517ED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uređena</w:t>
      </w:r>
      <w:r w:rsidR="008E31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oblast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8E31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8E31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8E31B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8E426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finansijskih</w:t>
      </w:r>
      <w:r w:rsidR="008E426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D0DEAA3" w14:textId="58FA7E1F" w:rsidR="00F06F83" w:rsidRPr="00E74403" w:rsidRDefault="00005E54" w:rsidP="00E04242">
      <w:pPr>
        <w:pStyle w:val="Default"/>
        <w:ind w:firstLine="720"/>
        <w:jc w:val="both"/>
        <w:rPr>
          <w:rFonts w:ascii="Times New Roman" w:hAnsi="Times New Roman" w:cs="Times New Roman"/>
          <w:strike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postupak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ostvarivanja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primjenjuju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uređena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oblast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9C63F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finansijskih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39EF32E0" w14:textId="77777777" w:rsidR="008E31B1" w:rsidRPr="00E74403" w:rsidRDefault="008E31B1" w:rsidP="00E04242">
      <w:pPr>
        <w:pStyle w:val="Default"/>
        <w:rPr>
          <w:rFonts w:ascii="Times New Roman" w:hAnsi="Times New Roman" w:cs="Times New Roman"/>
          <w:b/>
          <w:bCs/>
          <w:color w:val="auto"/>
          <w:lang w:val="sr-Cyrl-BA"/>
        </w:rPr>
      </w:pPr>
    </w:p>
    <w:p w14:paraId="287F960A" w14:textId="765B9235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Nadzor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nad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pružaocima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platnih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usluga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kartičnih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sistema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plaćanja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procesora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drugih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pružalaca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tehničkih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usluga</w:t>
      </w:r>
      <w:r w:rsidR="00013D5D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41ABCF3B" w14:textId="0234F32B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12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7739DCDA" w14:textId="72A7E381" w:rsidR="00EF5A43" w:rsidRPr="00E74403" w:rsidRDefault="00EF5A43" w:rsidP="00E04242">
      <w:pPr>
        <w:pStyle w:val="Default"/>
        <w:rPr>
          <w:rFonts w:ascii="Times New Roman" w:hAnsi="Times New Roman" w:cs="Times New Roman"/>
          <w:bCs/>
          <w:color w:val="auto"/>
          <w:lang w:val="sr-Cyrl-BA"/>
        </w:rPr>
      </w:pPr>
    </w:p>
    <w:p w14:paraId="01DA8FE9" w14:textId="366A4D9B" w:rsidR="00EF3489" w:rsidRPr="00E74403" w:rsidRDefault="00071D84" w:rsidP="00E04242">
      <w:pPr>
        <w:pStyle w:val="Default"/>
        <w:ind w:firstLine="720"/>
        <w:jc w:val="both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vrši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zakonima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propisima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donesenim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38CF82BC" w14:textId="4251F4EE" w:rsidR="00F06F83" w:rsidRPr="00E74403" w:rsidRDefault="0091341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vrši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ostalih</w:t>
      </w:r>
      <w:r w:rsidR="00005E5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pružalaca</w:t>
      </w:r>
      <w:r w:rsidR="00005E5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005E5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javnog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poštanskog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operatera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F232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F232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232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F232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F232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232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1D09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1D09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posebnim</w:t>
      </w:r>
      <w:r w:rsidR="001D09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zakonima</w:t>
      </w:r>
      <w:r w:rsidR="001D0964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0BD73CC5" w14:textId="5067F126" w:rsidR="00F06F83" w:rsidRPr="00E74403" w:rsidRDefault="00013D5D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nadzora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</w:t>
      </w:r>
      <w:r w:rsidR="00B607CE" w:rsidRPr="00E74403">
        <w:rPr>
          <w:rFonts w:ascii="Times New Roman" w:hAnsi="Times New Roman" w:cs="Times New Roman"/>
          <w:color w:val="auto"/>
          <w:lang w:val="sr-Cyrl-BA"/>
        </w:rPr>
        <w:t>.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2.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utvrdi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subjekat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nadzora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postupio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suprotno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donesenim</w:t>
      </w:r>
      <w:r w:rsidR="00B607C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njega</w:t>
      </w:r>
      <w:r w:rsidR="00583863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prema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njemu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preduzima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mjere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tom</w:t>
      </w:r>
      <w:r w:rsidR="00281A7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preduzeti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281A7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="00F23291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4D1D0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izricanje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E42F86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E42F86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izreći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tom</w:t>
      </w:r>
      <w:r w:rsidR="00222B1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njegovog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organa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upravljanja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odgovornom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subjektu</w:t>
      </w:r>
      <w:r w:rsidR="00F4730D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5B430D35" w14:textId="266AD6BA" w:rsidR="00013D5D" w:rsidRPr="00E74403" w:rsidRDefault="00013D5D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shodnom</w:t>
      </w:r>
      <w:r w:rsidR="00500B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drugih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posebnih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vrši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kontrolu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</w:t>
      </w:r>
      <w:r w:rsidR="00920D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920D7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strane</w:t>
      </w:r>
      <w:r w:rsidR="0034613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procesora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drugih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tehničkih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podržava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izvršavanje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predmet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odgovorna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subjekata</w:t>
      </w:r>
      <w:r w:rsidR="00403584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53750607" w14:textId="376BF242" w:rsidR="00AC381F" w:rsidRPr="00E74403" w:rsidRDefault="00AC381F" w:rsidP="00E04242">
      <w:pPr>
        <w:pStyle w:val="CommentText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lastRenderedPageBreak/>
        <w:t xml:space="preserve">(5)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05484B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može</w:t>
      </w:r>
      <w:r w:rsidR="00583863" w:rsidRPr="00E74403">
        <w:rPr>
          <w:rFonts w:ascii="Times New Roman" w:hAnsi="Times New Roman"/>
          <w:sz w:val="24"/>
          <w:szCs w:val="24"/>
          <w:lang w:val="sr-Cyrl-BA"/>
        </w:rPr>
        <w:t>,</w:t>
      </w:r>
      <w:r w:rsidR="0005484B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pismenim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putem</w:t>
      </w:r>
      <w:r w:rsidR="00583863" w:rsidRPr="00E74403">
        <w:rPr>
          <w:rFonts w:ascii="Times New Roman" w:hAnsi="Times New Roman"/>
          <w:sz w:val="24"/>
          <w:szCs w:val="24"/>
          <w:lang w:val="sr-Cyrl-BA"/>
        </w:rPr>
        <w:t>,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zahtijevati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kartičnog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procesora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tehničkih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E42F86" w:rsidRPr="00E74403">
        <w:rPr>
          <w:rFonts w:ascii="Times New Roman" w:hAnsi="Times New Roman"/>
          <w:sz w:val="24"/>
          <w:szCs w:val="24"/>
          <w:lang w:val="sr-Cyrl-BA"/>
        </w:rPr>
        <w:t>,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ostavljenom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roku</w:t>
      </w:r>
      <w:r w:rsidR="00E42F86" w:rsidRPr="00E74403">
        <w:rPr>
          <w:rFonts w:ascii="Times New Roman" w:hAnsi="Times New Roman"/>
          <w:sz w:val="24"/>
          <w:szCs w:val="24"/>
          <w:lang w:val="sr-Cyrl-BA"/>
        </w:rPr>
        <w:t>,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dostave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informacije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podatke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potrebne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kontrolu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poštovanja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odredaba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međubankarskoj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naknadi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365E9A93" w14:textId="300A5073" w:rsidR="00A84B3B" w:rsidRPr="00E74403" w:rsidRDefault="00AC381F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(6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postupku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kontrole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 4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izreći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sljedeće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mjere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>:</w:t>
      </w:r>
    </w:p>
    <w:p w14:paraId="665CB797" w14:textId="377AEAD6" w:rsidR="00A84B3B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naložiti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usklađivanje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0DFC12EB" w14:textId="14F099B9" w:rsidR="00A84B3B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privremeno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zabraniti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pružanje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jedne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trajanju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godinu</w:t>
      </w:r>
      <w:r w:rsidR="0014164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="00141644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1A6E8CE7" w14:textId="46AFB494" w:rsidR="00A84B3B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podnijeti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zahtjev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nadležnom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organu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pokretanje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prinudne</w:t>
      </w:r>
      <w:r w:rsidR="001E7C5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likvidacije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kontrolisanog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subjekta</w:t>
      </w:r>
      <w:r w:rsidR="004C5DEA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1E2030FE" w14:textId="3FB31348" w:rsidR="00F06F83" w:rsidRPr="00E74403" w:rsidRDefault="00AC381F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(7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Subjekat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>4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sjedište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ogranak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upisan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registar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nadležnog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organa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Republici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Srpskoj</w:t>
      </w:r>
      <w:r w:rsidR="0014164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obavijesti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imenu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sjedištu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njime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obavljati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komunikacija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sarađuje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njen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zahtjev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dostavlja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tražene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podatke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dokumentaciju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54044728" w14:textId="77777777" w:rsidR="00321196" w:rsidRPr="00E74403" w:rsidRDefault="00321196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432A9CED" w14:textId="3DA9E6EB" w:rsidR="00013D5D" w:rsidRPr="00E74403" w:rsidRDefault="00E74403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</w:t>
      </w:r>
      <w:r w:rsidR="00013D5D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trgovcima</w:t>
      </w:r>
    </w:p>
    <w:p w14:paraId="54D3104E" w14:textId="7EB97F84" w:rsidR="00A84B3B" w:rsidRPr="00E74403" w:rsidRDefault="00E74403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color w:val="auto"/>
          <w:lang w:val="sr-Cyrl-BA"/>
        </w:rPr>
        <w:t xml:space="preserve"> 13</w:t>
      </w:r>
      <w:r w:rsidR="00A84B3B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402562DE" w14:textId="77777777" w:rsidR="009E5453" w:rsidRPr="00E74403" w:rsidRDefault="009E5453" w:rsidP="00E04242">
      <w:pPr>
        <w:pStyle w:val="Default"/>
        <w:ind w:left="360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3610BD26" w14:textId="4D9695EE" w:rsidR="00D67264" w:rsidRPr="00E74403" w:rsidRDefault="00E7440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inspekcijski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583863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583863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vrše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nadležni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nadležni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inspekcijski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583863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rad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inspekcija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Republici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Srpskoj</w:t>
      </w:r>
      <w:r w:rsidR="00D67264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67368E85" w14:textId="31175BCB" w:rsidR="00EF3489" w:rsidRPr="00E74403" w:rsidRDefault="00EF3489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24A20149" w14:textId="7488EA3E" w:rsidR="005357D8" w:rsidRPr="00E74403" w:rsidRDefault="00E74403" w:rsidP="005357D8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Novčana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kazna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postupku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ostvarivanja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zaštite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prava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interesa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korisnika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</w:p>
    <w:p w14:paraId="33067E13" w14:textId="5F76E034" w:rsidR="00F06F83" w:rsidRPr="00E74403" w:rsidRDefault="00E74403" w:rsidP="005357D8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usluga</w:t>
      </w:r>
    </w:p>
    <w:p w14:paraId="1B1F7F1D" w14:textId="01FA17A1" w:rsidR="00F06F83" w:rsidRPr="00E74403" w:rsidRDefault="00E74403" w:rsidP="005357D8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96180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14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225C37B4" w14:textId="77777777" w:rsidR="00EF3489" w:rsidRPr="00E74403" w:rsidRDefault="00EF3489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</w:p>
    <w:p w14:paraId="46D1C8C3" w14:textId="78DB4AF3" w:rsidR="00F06F83" w:rsidRPr="00E74403" w:rsidRDefault="00894159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>10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B607C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40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kazniće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D3054E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63321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</w:p>
    <w:p w14:paraId="790FA88B" w14:textId="50D1C589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ponudi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suprotno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ovom</w:t>
      </w:r>
      <w:r w:rsidR="00904D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zakonu</w:t>
      </w:r>
      <w:r w:rsidR="00904DC6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5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. 2</w:t>
      </w:r>
      <w:r w:rsidR="00B607CE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8F737C" w:rsidRPr="00E74403">
        <w:rPr>
          <w:rFonts w:ascii="Times New Roman" w:hAnsi="Times New Roman" w:cs="Times New Roman"/>
          <w:color w:val="auto"/>
          <w:lang w:val="sr-Cyrl-BA"/>
        </w:rPr>
        <w:t xml:space="preserve"> 3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>.</w:t>
      </w:r>
      <w:r w:rsidR="00B607C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B607CE" w:rsidRPr="00E74403">
        <w:rPr>
          <w:rFonts w:ascii="Times New Roman" w:hAnsi="Times New Roman" w:cs="Times New Roman"/>
          <w:color w:val="auto"/>
          <w:lang w:val="sr-Cyrl-BA"/>
        </w:rPr>
        <w:t xml:space="preserve"> 4</w:t>
      </w:r>
      <w:r w:rsidR="00904DC6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F427BF3" w14:textId="2211784C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odbije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ovaj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uslovima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3),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499FFED" w14:textId="39F8260F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primjerenom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F6504C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izdavanju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6504C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jasne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objektivne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povezana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njihovim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karakteristikama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njihove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mogućnosti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primjenljivost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troškove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mjere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4),</w:t>
      </w:r>
    </w:p>
    <w:p w14:paraId="02FC219C" w14:textId="72BE4254" w:rsidR="00EF3489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4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opremi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primjenjuje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ustanovi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automatske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mehanizme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softver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uređaje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ograničio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izbor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8),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1DA2107A" w14:textId="3FF42AA2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7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1),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suprotno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ovom</w:t>
      </w:r>
      <w:r w:rsidR="00904DC6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jedinstvenu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taj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904DC6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904DC6" w:rsidRPr="00E74403">
        <w:rPr>
          <w:rFonts w:ascii="Times New Roman" w:hAnsi="Times New Roman" w:cs="Times New Roman"/>
          <w:color w:val="auto"/>
          <w:lang w:val="sr-Cyrl-BA"/>
        </w:rPr>
        <w:t xml:space="preserve"> 7.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904DC6" w:rsidRPr="00E74403">
        <w:rPr>
          <w:rFonts w:ascii="Times New Roman" w:hAnsi="Times New Roman" w:cs="Times New Roman"/>
          <w:color w:val="auto"/>
          <w:lang w:val="sr-Cyrl-BA"/>
        </w:rPr>
        <w:t xml:space="preserve"> 2)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D5ED1A4" w14:textId="06C84311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6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usluzi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zaključuje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primaocem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prikaže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lastRenderedPageBreak/>
        <w:t>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 xml:space="preserve"> 7.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 xml:space="preserve"> 3)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699D6FB2" w14:textId="63E19178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7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1C0B8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jednog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obaveže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52589D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pritom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ispunjeni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uslovi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,</w:t>
      </w:r>
    </w:p>
    <w:p w14:paraId="57D2E7E3" w14:textId="6247AD30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obezbijedi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bude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elektronski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vizuelno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prepoznatljiv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nedvosmisleno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identifikuju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izabrao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),</w:t>
      </w:r>
    </w:p>
    <w:p w14:paraId="5116E2B4" w14:textId="47AE0DE8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9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zabrani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usmjeri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prednost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obavijesti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9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>),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603FB2A" w14:textId="082CC543" w:rsidR="00F06F83" w:rsidRPr="00E74403" w:rsidRDefault="00D77BF6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10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nakon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pojedinačne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B56AEE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ugovorenim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rokovima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ugovoreni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referentnu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oznaku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identifikaciju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valuti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odobren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račun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posebno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naznačenim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10),</w:t>
      </w:r>
    </w:p>
    <w:p w14:paraId="11C76A0E" w14:textId="66082FA9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D77BF6"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D3054E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ponudi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suprotno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ovom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zakonu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894159" w:rsidRPr="00E74403">
        <w:rPr>
          <w:rFonts w:ascii="Times New Roman" w:hAnsi="Times New Roman" w:cs="Times New Roman"/>
          <w:color w:val="auto"/>
          <w:lang w:val="sr-Cyrl-BA"/>
        </w:rPr>
        <w:t xml:space="preserve"> 16</w:t>
      </w:r>
      <w:r w:rsidR="00D24E30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A3C4EDD" w14:textId="48BADB14" w:rsidR="00037B07" w:rsidRPr="00E74403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(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prekršaj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kazniće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odgovorno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pružaoca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636F74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novčanom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kaznom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2.500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10.000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66AA3B77" w14:textId="77777777" w:rsidR="00EF3489" w:rsidRPr="00E74403" w:rsidRDefault="00037B07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2BB83380" w14:textId="3B56FD89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Prekršaji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primaoca</w:t>
      </w:r>
      <w:r w:rsidR="006C0C5A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plaćanja</w:t>
      </w:r>
    </w:p>
    <w:p w14:paraId="549C8539" w14:textId="713A0A4D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C6093B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15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13AFBFBD" w14:textId="77777777" w:rsidR="00EF3489" w:rsidRPr="00E74403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585B7BF1" w14:textId="5602A4E4" w:rsidR="00F06F83" w:rsidRPr="00E74403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20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kazniće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pravno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6C185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1C0B8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>:</w:t>
      </w:r>
    </w:p>
    <w:p w14:paraId="48AEB4ED" w14:textId="25F6B058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1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ograniči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izabere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2F3E3E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različiti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aplikacije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bili</w:t>
      </w:r>
      <w:r w:rsidR="00EF34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odabrani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automatskog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mehanizma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upotrebljava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 6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9)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715FC2E8" w14:textId="12B48D7B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obavijesti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tome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jasno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nedvosmisleno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istovremeno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davanjem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obavještenja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3)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1C5442F" w14:textId="31539DCD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3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istakne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vidno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ulazu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prodajni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objekat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mjestu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4)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07D562F8" w14:textId="44EAD2D0" w:rsidR="00F06F83" w:rsidRPr="00E74403" w:rsidRDefault="00F10D94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4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slučaju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trgovine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korišćenjem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komunikacije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daljinu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objavi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svojoj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internet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stranici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drugom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odgovarajućem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elektronskom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mobilnom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mediju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primjerenom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zaključenja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C6093B" w:rsidRPr="00E74403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5). </w:t>
      </w:r>
    </w:p>
    <w:p w14:paraId="204277CD" w14:textId="2C9F78CE" w:rsidR="00F06F83" w:rsidRPr="00E74403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prekršaj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kazniće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odgovorno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A37E2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pravno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>5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037B0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.000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30FAA451" w14:textId="40433B44" w:rsidR="00F06F83" w:rsidRPr="00E74403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(3)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prekršaj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kazniće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preduzetnik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96F70" w:rsidRPr="00E74403">
        <w:rPr>
          <w:rFonts w:ascii="Times New Roman" w:hAnsi="Times New Roman" w:cs="Times New Roman"/>
          <w:color w:val="auto"/>
          <w:lang w:val="sr-Cyrl-BA"/>
        </w:rPr>
        <w:t>2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6C0C5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B96F70" w:rsidRPr="00E74403">
        <w:rPr>
          <w:rFonts w:ascii="Times New Roman" w:hAnsi="Times New Roman" w:cs="Times New Roman"/>
          <w:color w:val="auto"/>
          <w:lang w:val="sr-Cyrl-BA"/>
        </w:rPr>
        <w:t>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56D6F55" w14:textId="28B7AD28" w:rsidR="00E74403" w:rsidRPr="00E74403" w:rsidRDefault="00B96F70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prekršaj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1.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kazniće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>,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novčanom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kaznom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100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400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KM.</w:t>
      </w:r>
    </w:p>
    <w:p w14:paraId="65B9A275" w14:textId="5A84BB0D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lastRenderedPageBreak/>
        <w:t>Privremeno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odstupanje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propisane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visine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međubankarske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naknade</w:t>
      </w:r>
    </w:p>
    <w:p w14:paraId="1D9A5D47" w14:textId="35DC9BEA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5B7391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16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45F924D7" w14:textId="77777777" w:rsidR="00EF3489" w:rsidRPr="00E74403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020720DA" w14:textId="7DED0359" w:rsidR="00F06F83" w:rsidRPr="00E74403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(1)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Izuzetno</w:t>
      </w:r>
      <w:r w:rsidR="00680DD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680DD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680DD0" w:rsidRPr="00E74403">
        <w:rPr>
          <w:rFonts w:ascii="Times New Roman" w:hAnsi="Times New Roman" w:cs="Times New Roman"/>
          <w:color w:val="auto"/>
          <w:lang w:val="sr-Cyrl-BA"/>
        </w:rPr>
        <w:t xml:space="preserve"> 5.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680DD0" w:rsidRPr="00E74403">
        <w:rPr>
          <w:rFonts w:ascii="Times New Roman" w:hAnsi="Times New Roman" w:cs="Times New Roman"/>
          <w:color w:val="auto"/>
          <w:lang w:val="sr-Cyrl-BA"/>
        </w:rPr>
        <w:t xml:space="preserve"> 2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>.</w:t>
      </w:r>
      <w:r w:rsidR="00680DD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680DD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680DD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tri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mjeseca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stupanja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većem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propisanog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većem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0,5%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vrijednosti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66840F61" w14:textId="753D81A6" w:rsidR="00F06F83" w:rsidRPr="00E74403" w:rsidRDefault="00C6093B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 xml:space="preserve">(2)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Izuzetno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 5.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 3.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tri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mjeseca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stupanja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naplatiti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većem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propisanog</w:t>
      </w:r>
      <w:r w:rsidR="00C24CBF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većem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0,6%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vrijednosti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izvršene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34EE151" w14:textId="77777777" w:rsidR="00EF3489" w:rsidRPr="00E74403" w:rsidRDefault="00EF3489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3426D28B" w14:textId="5A66C88F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Važenje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instrumenata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zasnovanih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kartici</w:t>
      </w:r>
    </w:p>
    <w:p w14:paraId="5067EA8C" w14:textId="76B97185" w:rsidR="00F06F83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5B7391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17</w:t>
      </w:r>
      <w:r w:rsidR="00F06F83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3D9DE4B6" w14:textId="77777777" w:rsidR="00EF3489" w:rsidRPr="00E74403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0646DBB0" w14:textId="23020E28" w:rsidR="007A03A7" w:rsidRPr="00E74403" w:rsidRDefault="00E74403" w:rsidP="007A03A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zasnovani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izdati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isteka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roka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usklađivanje</w:t>
      </w:r>
      <w:r w:rsidR="00AE1A4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pružaoca</w:t>
      </w:r>
      <w:r w:rsidR="00784FF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84FF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84FF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84FF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="00784FF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1F4932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84FF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1F493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1F493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koristiti</w:t>
      </w:r>
      <w:r w:rsidR="001F493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isteka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roka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važenja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označen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tim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instrumentima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bez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obzira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li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postupio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5B7391" w:rsidRPr="00E74403">
        <w:rPr>
          <w:rFonts w:ascii="Times New Roman" w:hAnsi="Times New Roman" w:cs="Times New Roman"/>
          <w:color w:val="auto"/>
          <w:lang w:val="sr-Cyrl-BA"/>
        </w:rPr>
        <w:t xml:space="preserve"> 8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6.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F06F83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A03A7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0A4F3457" w14:textId="5E2DB225" w:rsidR="0043648E" w:rsidRPr="00E74403" w:rsidRDefault="0043648E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1C45DB04" w14:textId="478545C5" w:rsidR="00CB1B89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Donošenje</w:t>
      </w:r>
      <w:r w:rsidR="005B7391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podzakonskih</w:t>
      </w:r>
      <w:r w:rsidR="005B7391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propisa</w:t>
      </w:r>
    </w:p>
    <w:p w14:paraId="3EEFEDE9" w14:textId="521FD451" w:rsidR="00CB1B89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5B7391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18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1586EC19" w14:textId="77777777" w:rsidR="00EF3489" w:rsidRPr="00E74403" w:rsidRDefault="00EF3489" w:rsidP="00E04242">
      <w:pPr>
        <w:pStyle w:val="Default"/>
        <w:rPr>
          <w:rFonts w:ascii="Times New Roman" w:hAnsi="Times New Roman" w:cs="Times New Roman"/>
          <w:color w:val="auto"/>
          <w:lang w:val="sr-Cyrl-BA"/>
        </w:rPr>
      </w:pPr>
    </w:p>
    <w:p w14:paraId="741C367F" w14:textId="2B6D386F" w:rsidR="00CB1B89" w:rsidRPr="00E74403" w:rsidRDefault="00E7440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E90C2A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donijeti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podzakonski</w:t>
      </w:r>
      <w:r w:rsidR="005B73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propis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5B7391" w:rsidRPr="00E74403">
        <w:rPr>
          <w:rFonts w:ascii="Times New Roman" w:hAnsi="Times New Roman" w:cs="Times New Roman"/>
          <w:color w:val="auto"/>
          <w:lang w:val="sr-Cyrl-BA"/>
        </w:rPr>
        <w:t xml:space="preserve"> 5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="005B7391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D48C9" w:rsidRPr="00E74403">
        <w:rPr>
          <w:rFonts w:ascii="Times New Roman" w:hAnsi="Times New Roman" w:cs="Times New Roman"/>
          <w:color w:val="auto"/>
          <w:lang w:val="sr-Cyrl-BA"/>
        </w:rPr>
        <w:t>9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mjesec</w:t>
      </w:r>
      <w:r w:rsidR="000A24E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="000A24E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stupanja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0A24E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5CDDE933" w14:textId="489275BC" w:rsidR="000C7356" w:rsidRPr="00E74403" w:rsidRDefault="000C7356" w:rsidP="00E04242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7F2D868F" w14:textId="317E598E" w:rsidR="00CB1B89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Usklađivanje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sa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odredbama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ovog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zakona</w:t>
      </w:r>
    </w:p>
    <w:p w14:paraId="109011F7" w14:textId="347D46B5" w:rsidR="00CB1B89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5B7391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19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020DE782" w14:textId="77777777" w:rsidR="00EF3489" w:rsidRPr="00E74403" w:rsidRDefault="00EF3489" w:rsidP="00E04242">
      <w:pPr>
        <w:pStyle w:val="Default"/>
        <w:jc w:val="center"/>
        <w:rPr>
          <w:rFonts w:ascii="Times New Roman" w:hAnsi="Times New Roman" w:cs="Times New Roman"/>
          <w:strike/>
          <w:color w:val="auto"/>
          <w:lang w:val="sr-Cyrl-BA"/>
        </w:rPr>
      </w:pPr>
    </w:p>
    <w:p w14:paraId="6A77113C" w14:textId="4167E81F" w:rsidR="00CB1B89" w:rsidRPr="00E74403" w:rsidRDefault="00E74403" w:rsidP="00E04242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dužni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568D8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svoje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interne</w:t>
      </w:r>
      <w:r w:rsidR="007C0382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akte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usklade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odredbama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CB1B8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tri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mjeseca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stupanja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F7229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4C8E5764" w14:textId="500B10AB" w:rsidR="00F65D23" w:rsidRPr="00E74403" w:rsidRDefault="00F65D2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42E08FDB" w14:textId="388D6AC3" w:rsidR="00CB1B89" w:rsidRPr="00E74403" w:rsidRDefault="00E74403" w:rsidP="00E04242">
      <w:pPr>
        <w:pStyle w:val="Default"/>
        <w:jc w:val="center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Stupanje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na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bCs/>
          <w:color w:val="auto"/>
          <w:lang w:val="sr-Cyrl-BA"/>
        </w:rPr>
        <w:t>snagu</w:t>
      </w:r>
    </w:p>
    <w:p w14:paraId="3D7D11CC" w14:textId="60DAD6D3" w:rsidR="00F117A4" w:rsidRPr="00E74403" w:rsidRDefault="00E74403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  <w:r w:rsidRPr="00E74403">
        <w:rPr>
          <w:rFonts w:ascii="Times New Roman" w:hAnsi="Times New Roman" w:cs="Times New Roman"/>
          <w:bCs/>
          <w:color w:val="auto"/>
          <w:lang w:val="sr-Cyrl-BA"/>
        </w:rPr>
        <w:t>Član</w:t>
      </w:r>
      <w:r w:rsidR="00612B2C" w:rsidRPr="00E74403">
        <w:rPr>
          <w:rFonts w:ascii="Times New Roman" w:hAnsi="Times New Roman" w:cs="Times New Roman"/>
          <w:bCs/>
          <w:color w:val="auto"/>
          <w:lang w:val="sr-Cyrl-BA"/>
        </w:rPr>
        <w:t xml:space="preserve"> 20</w:t>
      </w:r>
      <w:r w:rsidR="00CB1B89" w:rsidRPr="00E74403">
        <w:rPr>
          <w:rFonts w:ascii="Times New Roman" w:hAnsi="Times New Roman" w:cs="Times New Roman"/>
          <w:bCs/>
          <w:color w:val="auto"/>
          <w:lang w:val="sr-Cyrl-BA"/>
        </w:rPr>
        <w:t>.</w:t>
      </w:r>
    </w:p>
    <w:p w14:paraId="1D16F43B" w14:textId="77777777" w:rsidR="00B37B1E" w:rsidRPr="00E74403" w:rsidRDefault="00B37B1E" w:rsidP="00E04242">
      <w:pPr>
        <w:pStyle w:val="Default"/>
        <w:jc w:val="center"/>
        <w:rPr>
          <w:rFonts w:ascii="Times New Roman" w:hAnsi="Times New Roman" w:cs="Times New Roman"/>
          <w:bCs/>
          <w:color w:val="auto"/>
          <w:lang w:val="sr-Cyrl-BA"/>
        </w:rPr>
      </w:pPr>
    </w:p>
    <w:p w14:paraId="629F170F" w14:textId="2F5D0210" w:rsidR="00FC5000" w:rsidRPr="00E74403" w:rsidRDefault="007C0382" w:rsidP="00E042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Ovaj</w:t>
      </w:r>
      <w:r w:rsidR="00C2635E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zakon</w:t>
      </w:r>
      <w:r w:rsidR="00C2635E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se</w:t>
      </w:r>
      <w:r w:rsidR="006E520B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objavljuje</w:t>
      </w:r>
      <w:r w:rsidR="006E520B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u</w:t>
      </w:r>
      <w:r w:rsidR="006E520B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„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Službenom</w:t>
      </w:r>
      <w:r w:rsidR="007568D8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glasniku</w:t>
      </w:r>
      <w:r w:rsidR="007568D8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Republike</w:t>
      </w:r>
      <w:r w:rsidR="007568D8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Srpske</w:t>
      </w:r>
      <w:r w:rsidR="007568D8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“,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a</w:t>
      </w:r>
      <w:r w:rsidR="006E520B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stupa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na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snagu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tri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mjeseca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od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dana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objavljivanja</w:t>
      </w:r>
      <w:r w:rsidR="006E520B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.</w:t>
      </w:r>
      <w:r w:rsidR="007F7229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</w:p>
    <w:p w14:paraId="1ED9631D" w14:textId="1D00A934" w:rsidR="00755950" w:rsidRPr="00E74403" w:rsidRDefault="00755950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</w:p>
    <w:p w14:paraId="3D67FFFD" w14:textId="59D46D6B" w:rsidR="000E0F30" w:rsidRPr="00E74403" w:rsidRDefault="000E0F30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</w:p>
    <w:p w14:paraId="457679E9" w14:textId="77777777" w:rsidR="000E0F30" w:rsidRPr="00E74403" w:rsidRDefault="000E0F30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</w:p>
    <w:p w14:paraId="7A4C9D43" w14:textId="4F183B64" w:rsidR="00612B2C" w:rsidRPr="00E74403" w:rsidRDefault="00E74403" w:rsidP="00D3054E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Broj</w:t>
      </w:r>
      <w:r w:rsidR="00612B2C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:</w:t>
      </w:r>
      <w:r w:rsidR="00D3054E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ab/>
      </w:r>
      <w:r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PREDSJEDNIK</w:t>
      </w:r>
    </w:p>
    <w:p w14:paraId="683A18C9" w14:textId="734F03F1" w:rsidR="00612B2C" w:rsidRPr="00E74403" w:rsidRDefault="00E74403" w:rsidP="00D3054E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Datum</w:t>
      </w:r>
      <w:r w:rsidR="00612B2C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:</w:t>
      </w:r>
      <w:r w:rsidR="00D3054E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ab/>
      </w:r>
      <w:r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NARODNE</w:t>
      </w:r>
      <w:r w:rsidR="00612B2C"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bs-Latn-BA"/>
        </w:rPr>
        <w:t>SKUPŠTINE</w:t>
      </w:r>
    </w:p>
    <w:p w14:paraId="6284856B" w14:textId="77777777" w:rsidR="00D77BF6" w:rsidRPr="00E74403" w:rsidRDefault="00D77BF6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</w:p>
    <w:p w14:paraId="615D0661" w14:textId="60592FD3" w:rsidR="00973D00" w:rsidRPr="00E74403" w:rsidRDefault="00D3054E" w:rsidP="00D3054E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Nedeljko</w:t>
      </w:r>
      <w:r w:rsidR="00612B2C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Čubrilović</w:t>
      </w:r>
    </w:p>
    <w:p w14:paraId="6A1CA997" w14:textId="68A2E3E3" w:rsidR="004D6767" w:rsidRPr="00E74403" w:rsidRDefault="004D6767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bookmarkStart w:id="0" w:name="_GoBack"/>
      <w:bookmarkEnd w:id="0"/>
    </w:p>
    <w:p w14:paraId="4C0D7A18" w14:textId="3C11C382" w:rsidR="004D6767" w:rsidRPr="00E74403" w:rsidRDefault="004D6767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14:paraId="1086356F" w14:textId="07BCA9B0" w:rsidR="004D6767" w:rsidRPr="00E74403" w:rsidRDefault="004D6767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14:paraId="6BC6678D" w14:textId="357F8947" w:rsidR="004D6767" w:rsidRPr="00E74403" w:rsidRDefault="004D6767" w:rsidP="00E04242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14:paraId="4A1A284C" w14:textId="1A1827EF" w:rsidR="00F65D23" w:rsidRPr="00E74403" w:rsidRDefault="00F65D23">
      <w:pPr>
        <w:rPr>
          <w:rFonts w:ascii="Times New Roman" w:hAnsi="Times New Roman"/>
          <w:b/>
          <w:sz w:val="26"/>
          <w:szCs w:val="26"/>
          <w:lang w:val="sr-Cyrl-BA"/>
        </w:rPr>
      </w:pPr>
    </w:p>
    <w:p w14:paraId="1ECFD6C7" w14:textId="1D36CA70" w:rsidR="00714805" w:rsidRPr="00E74403" w:rsidRDefault="00E74403" w:rsidP="007148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z w:val="24"/>
          <w:szCs w:val="24"/>
          <w:lang w:val="sr-Cyrl-BA"/>
        </w:rPr>
        <w:lastRenderedPageBreak/>
        <w:t>OBRAZLOŽENJE</w:t>
      </w:r>
    </w:p>
    <w:p w14:paraId="266F402D" w14:textId="2343524F" w:rsidR="00714805" w:rsidRPr="00E74403" w:rsidRDefault="00E74403" w:rsidP="007148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napToGrid w:val="0"/>
          <w:sz w:val="24"/>
          <w:szCs w:val="24"/>
          <w:lang w:val="sr-Cyrl-BA"/>
        </w:rPr>
        <w:t>PRIJEDLOGA ZAKONA O MEĐUBANKARSKIM NAKNADAMA KOD PLATNIH TRANSAKCIJA NA OSNOVU PLATNIH KARTICA</w:t>
      </w:r>
    </w:p>
    <w:p w14:paraId="14FDB473" w14:textId="77777777" w:rsidR="00714805" w:rsidRPr="00E74403" w:rsidRDefault="00714805" w:rsidP="00714805">
      <w:pPr>
        <w:widowControl w:val="0"/>
        <w:spacing w:after="0" w:line="240" w:lineRule="auto"/>
        <w:jc w:val="center"/>
        <w:outlineLvl w:val="7"/>
        <w:rPr>
          <w:rFonts w:ascii="Times New Roman" w:hAnsi="Times New Roman"/>
          <w:b/>
          <w:snapToGrid w:val="0"/>
          <w:sz w:val="24"/>
          <w:szCs w:val="24"/>
          <w:lang w:val="sr-Cyrl-BA"/>
        </w:rPr>
      </w:pPr>
    </w:p>
    <w:p w14:paraId="640058CC" w14:textId="77777777" w:rsidR="00714805" w:rsidRPr="00E74403" w:rsidRDefault="00714805" w:rsidP="007148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7C5B6CB6" w14:textId="7A6A19F0" w:rsidR="00714805" w:rsidRPr="00E74403" w:rsidRDefault="00714805" w:rsidP="007148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ab/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USTAVNI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OSNOV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14:paraId="5A6683D1" w14:textId="77777777" w:rsidR="00714805" w:rsidRPr="00E74403" w:rsidRDefault="00714805" w:rsidP="007148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9DBD2F3" w14:textId="04C9F93C" w:rsidR="00714805" w:rsidRPr="00E74403" w:rsidRDefault="00E74403" w:rsidP="00B56AE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 w:eastAsia="hr-HR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Ustavni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osnov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za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donošenje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Zakona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o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međubankarskim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naknadama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kod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platnih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transakcija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osnovu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platnih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kartica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sadržan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Amandmanu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XXXII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član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68.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Ustava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Republike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Srpske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tačka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7,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prema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kojem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Republika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Srpska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između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ostalog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uređuje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obezbjeđuje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bankarski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sistem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kao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članu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53.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Ustava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Republike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Srpske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prema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kojem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Republika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Srpska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obezbjeđuje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zaštitu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potrošača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te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članu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70.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tačka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2.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Ustava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Republike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Srpske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kojim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uređeno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da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Narodna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skupština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Republike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Srpske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donosi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zakone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druge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propise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opšte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>akte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hr-HR"/>
        </w:rPr>
        <w:t xml:space="preserve">. </w:t>
      </w:r>
    </w:p>
    <w:p w14:paraId="71388EF0" w14:textId="77777777" w:rsidR="00714805" w:rsidRPr="00E74403" w:rsidRDefault="00714805" w:rsidP="007148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1D08526" w14:textId="06274DD8" w:rsidR="00714805" w:rsidRPr="00E74403" w:rsidRDefault="00714805" w:rsidP="007148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USKLAĐENOST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USTAVOM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PRAVNIM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SISTEMOM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PRAVILIMA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NORMATIVNOPRAVNE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TEHNIKE</w:t>
      </w:r>
    </w:p>
    <w:p w14:paraId="5790D54D" w14:textId="2A19A7FF" w:rsidR="00714805" w:rsidRPr="00E74403" w:rsidRDefault="00714805" w:rsidP="007148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135D4BA3" w14:textId="341F9FFF" w:rsidR="00912B31" w:rsidRPr="00E74403" w:rsidRDefault="00F65D23" w:rsidP="00912B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Mišljenju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Republičkog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sekretarijata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zakonodavstvo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Pr="00E74403">
        <w:rPr>
          <w:rFonts w:ascii="Times New Roman" w:hAnsi="Times New Roman"/>
          <w:sz w:val="24"/>
          <w:szCs w:val="24"/>
          <w:lang w:val="sr-Cyrl-BA"/>
        </w:rPr>
        <w:t>:</w:t>
      </w:r>
      <w:r w:rsidRPr="00E74403">
        <w:rPr>
          <w:rFonts w:ascii="Times New Roman" w:hAnsi="Times New Roman"/>
          <w:sz w:val="24"/>
          <w:szCs w:val="24"/>
          <w:lang w:val="sr-Cyrl-BA"/>
        </w:rPr>
        <w:tab/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22.03-020-488/22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16.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februara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2022.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godine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ustavni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donošenje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sadržan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je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Amandmanu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XXXII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član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68.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tačka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7.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Ustava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kojoj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između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ostalog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uređuje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obezbjeđuje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bankarski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sistem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članu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53.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Ustava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kojem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obezbjeđuje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zaštitu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potrošača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Takođe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članu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70.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tačka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2.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Ustava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Narodna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skupština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donosi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druge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propise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opšte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akte</w:t>
      </w:r>
      <w:r w:rsidR="00912B31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038180CC" w14:textId="78FA28F1" w:rsidR="00912B31" w:rsidRPr="00E74403" w:rsidRDefault="00912B31" w:rsidP="00912B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Ovaj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sekretarijat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Nacrt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međubankarskim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aktom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: 22.03-020-2908/21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8.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oktobra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godine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pozitivno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mišljenje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Narodna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skupština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Nacrt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usvojila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Devetnaestoj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redovnoj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sjednici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održanoj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decembra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2021.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godine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1A36BED8" w14:textId="2065B5E8" w:rsidR="00912B31" w:rsidRPr="00E74403" w:rsidRDefault="00912B31" w:rsidP="00912B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Imajući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vidu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trend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rasta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upotrebe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bezgotovinskog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razlozi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donošenje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sadržani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potrebi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zaštite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interesa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korisnika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način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obezbijedi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ravnopravan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položaj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tržištu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uvodeći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pravila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prilikom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koriste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414428CE" w14:textId="1AFB2037" w:rsidR="00912B31" w:rsidRPr="00E74403" w:rsidRDefault="00912B31" w:rsidP="00912B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uređuju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međubankarske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naplaćuju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izvršavanju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pravila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vezi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izdavanjem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prihvatanjem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instrumenata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zasnovanih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6EDE337C" w14:textId="7EFC0CCD" w:rsidR="00912B31" w:rsidRPr="00E74403" w:rsidRDefault="00912B31" w:rsidP="00912B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Razlike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između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Nacrta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Prijedloga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rezultat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skupštinske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stručne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rasprave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ogledaju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tehničkim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korekcijama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preciziranju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primaoca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prihvatioca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pružanja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povratom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gotovine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obavezi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prihvatioca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primaoca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informiše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odgovarajućoj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visini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5D6A1548" w14:textId="4905046C" w:rsidR="00912B31" w:rsidRPr="00E74403" w:rsidRDefault="00912B31" w:rsidP="00912B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Navedene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izmjena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Prijedloga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Nacrt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uskladio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Pravilima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izradu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propisa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(„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Službeni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glasnik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24/14). </w:t>
      </w:r>
    </w:p>
    <w:p w14:paraId="6A53C449" w14:textId="317F2099" w:rsidR="00714805" w:rsidRPr="00E74403" w:rsidRDefault="00912B31" w:rsidP="00912B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Budući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Republički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sekretarijat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zakonodavstvo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utvrdio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ovaj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prijedlog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usklađen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Ustavom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sistemom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Pravilima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izradu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propisa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mišljenja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smo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Prijedlog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međubankarskim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može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uputiti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dalje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razmatranje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2A9E1224" w14:textId="77777777" w:rsidR="00714805" w:rsidRPr="00E74403" w:rsidRDefault="00714805" w:rsidP="0071480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  <w:t xml:space="preserve"> </w:t>
      </w:r>
    </w:p>
    <w:p w14:paraId="2A4383FC" w14:textId="77777777" w:rsidR="00E74403" w:rsidRPr="00E74403" w:rsidRDefault="00E74403" w:rsidP="007148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419CE19F" w14:textId="77777777" w:rsidR="00E74403" w:rsidRPr="00E74403" w:rsidRDefault="00E74403" w:rsidP="007148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0D2ABEF5" w14:textId="7B2B27A5" w:rsidR="00714805" w:rsidRPr="00E74403" w:rsidRDefault="00714805" w:rsidP="007148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z w:val="24"/>
          <w:szCs w:val="24"/>
          <w:lang w:val="sr-Cyrl-BA"/>
        </w:rPr>
        <w:lastRenderedPageBreak/>
        <w:t>III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USKLAĐENOST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PRAVNIM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PORETKOM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EVROPSKE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b/>
          <w:sz w:val="24"/>
          <w:szCs w:val="24"/>
          <w:lang w:val="sr-Cyrl-BA"/>
        </w:rPr>
        <w:t>UNIJE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14:paraId="3BEC623E" w14:textId="1B522A14" w:rsidR="00714805" w:rsidRPr="00E74403" w:rsidRDefault="00714805" w:rsidP="007148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6C403D02" w14:textId="695F3A1C" w:rsidR="00F72D5A" w:rsidRPr="00E74403" w:rsidRDefault="00E74403" w:rsidP="00F72D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Mišljenju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Ministarstva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evropske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integracije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međunarodnu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saradnju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: 17.03-020-888/22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18. </w:t>
      </w:r>
      <w:r w:rsidRPr="00E74403">
        <w:rPr>
          <w:rFonts w:ascii="Times New Roman" w:hAnsi="Times New Roman"/>
          <w:sz w:val="24"/>
          <w:szCs w:val="24"/>
          <w:lang w:val="sr-Cyrl-BA"/>
        </w:rPr>
        <w:t>marta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2022. </w:t>
      </w:r>
      <w:r w:rsidRPr="00E74403">
        <w:rPr>
          <w:rFonts w:ascii="Times New Roman" w:hAnsi="Times New Roman"/>
          <w:sz w:val="24"/>
          <w:szCs w:val="24"/>
          <w:lang w:val="sr-Cyrl-BA"/>
        </w:rPr>
        <w:t>godine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F72D5A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nakon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uvida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propise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Evropske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unije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analize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odredaba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međubankarskim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naknadama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kod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daljem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tekstu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: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),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ustanovljen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obavezujući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sekundarni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izvor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prava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EU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koji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odnosi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materiju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dostavljenog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Predlagač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vršio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usklađivanje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pomenutim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izvorom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prava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zbog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čega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Izjavi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usklađenosti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navedena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ocjena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„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Usklađeno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“. </w:t>
      </w:r>
    </w:p>
    <w:p w14:paraId="77717195" w14:textId="34A3FF8F" w:rsidR="00F72D5A" w:rsidRPr="00E74403" w:rsidRDefault="00E74403" w:rsidP="00F72D5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Predmetnu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materiju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dijelu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primarnih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izvora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prava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EU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uređuje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Ugovor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funkcionisanju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Evropske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unije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Dio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prvi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–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Načela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Glava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I –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Odredbe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koje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imaju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opštu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primjenu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član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16.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stav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1,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Glava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VII –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Opšta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pravila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konkurenciji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oporezivanju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usklađivanju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Poglavlje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3 – 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Usklađivanje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član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114</w:t>
      </w:r>
      <w:r w:rsidR="00F72D5A" w:rsidRPr="00E74403">
        <w:rPr>
          <w:rFonts w:ascii="Times New Roman" w:eastAsia="Times New Roman" w:hAnsi="Times New Roman"/>
          <w:sz w:val="24"/>
          <w:szCs w:val="24"/>
          <w:vertAlign w:val="superscript"/>
          <w:lang w:val="sr-Cyrl-BA"/>
        </w:rPr>
        <w:footnoteReference w:id="1"/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561F5BA3" w14:textId="62CB077C" w:rsidR="00F72D5A" w:rsidRPr="00E74403" w:rsidRDefault="00E74403" w:rsidP="00F72D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Prilikom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izrade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vršeno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usklađivanje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Regulativom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(E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)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br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2015/751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Evropskog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parlamenta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Savjeta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od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29.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aprila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2015.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godine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međubankarskim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naknadama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zasnovane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karticama</w:t>
      </w:r>
      <w:r w:rsidR="00F72D5A" w:rsidRPr="00E74403">
        <w:rPr>
          <w:rFonts w:ascii="Times New Roman" w:eastAsia="Times New Roman" w:hAnsi="Times New Roman"/>
          <w:sz w:val="24"/>
          <w:szCs w:val="24"/>
          <w:vertAlign w:val="superscript"/>
          <w:lang w:val="sr-Cyrl-BA"/>
        </w:rPr>
        <w:footnoteReference w:id="2"/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regulativa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propisuje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visinu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gornje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granice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naknada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povećava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transparentnost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naknada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omogućavajući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trgovcima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znaju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nivo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naknade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plaćene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prihvatanju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različitih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povećava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konkurentnost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pružajući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potrošačima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veću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mogućnost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izbora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između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različitih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vrsta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pružaoca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usluga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Regulativa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ima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cilj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unapređenje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promociju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jedinstvenog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digitalnog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tržišta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te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sigurniju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jeftiniju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naplatu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kao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razvoj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inovativnih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tehnologija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="00F72D5A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</w:p>
    <w:p w14:paraId="75A5B015" w14:textId="4E071BF5" w:rsidR="00F72D5A" w:rsidRPr="00E74403" w:rsidRDefault="00F72D5A" w:rsidP="00F72D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Detaljan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pregled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usklađenosti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odredaba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navedenom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regulativom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sadržan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Uporednom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prikazu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usklađenosti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naknadama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propisima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EU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70610AD0" w14:textId="4F61810C" w:rsidR="00F72D5A" w:rsidRPr="00E74403" w:rsidRDefault="00F72D5A" w:rsidP="00F72D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Napominjemo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donošenje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doprinijeti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ispunjavanju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obaveza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iz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člana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89.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SSP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-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a</w:t>
      </w:r>
      <w:r w:rsidRPr="00E74403">
        <w:rPr>
          <w:rFonts w:ascii="Times New Roman" w:eastAsia="Times New Roman" w:hAnsi="Times New Roman"/>
          <w:sz w:val="24"/>
          <w:szCs w:val="24"/>
          <w:vertAlign w:val="superscript"/>
          <w:lang w:val="sr-Cyrl-BA"/>
        </w:rPr>
        <w:footnoteReference w:id="3"/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odnose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saradnju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ugovornih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strana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oblasti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bankarstva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osiguranja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ostalih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finansijskih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</w:p>
    <w:p w14:paraId="0866A98A" w14:textId="2C6A933E" w:rsidR="00912B31" w:rsidRPr="00E74403" w:rsidRDefault="00912B31" w:rsidP="0071480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C061538" w14:textId="7CBBFA48" w:rsidR="00714805" w:rsidRPr="00E74403" w:rsidRDefault="00E74403" w:rsidP="007148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b/>
          <w:bCs/>
          <w:iCs/>
          <w:sz w:val="24"/>
          <w:szCs w:val="24"/>
          <w:lang w:val="sr-Cyrl-BA"/>
        </w:rPr>
        <w:t>IV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RAZLOZI ZA DONOŠENJE ZAKONA </w:t>
      </w:r>
    </w:p>
    <w:p w14:paraId="4068FF8D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720A7F4" w14:textId="61326D99" w:rsidR="00714805" w:rsidRPr="00E74403" w:rsidRDefault="00714805" w:rsidP="00F65D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Donošenjem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unutrašnjem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>(„</w:t>
      </w:r>
      <w:r w:rsidR="00E74403"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>Službeni</w:t>
      </w:r>
      <w:r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>glasnik</w:t>
      </w:r>
      <w:r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>Republike</w:t>
      </w:r>
      <w:r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>Srpske</w:t>
      </w:r>
      <w:r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 xml:space="preserve">“, </w:t>
      </w:r>
      <w:r w:rsidR="00E74403"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>br</w:t>
      </w:r>
      <w:r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 xml:space="preserve">. 52/12, 92/12 </w:t>
      </w:r>
      <w:r w:rsidR="00E74403"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napToGrid w:val="0"/>
          <w:sz w:val="24"/>
          <w:szCs w:val="24"/>
          <w:lang w:val="sr-Cyrl-BA"/>
        </w:rPr>
        <w:t xml:space="preserve"> 58/18)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postojeći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sistem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unaprijeđen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dograđen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skladu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međunarodnim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standardima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pozitivnom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praksom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zemalja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okruženja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Navedenim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nije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mijenjan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način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obavljanja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ovlašćenim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organizacijama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već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date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pretpostavke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unapređivanje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povećanje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zaštita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korisnika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Takođe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stvoreni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preduslovi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rast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bezgotovinskih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rast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upotrebe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instrumenata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bezgotovinskog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upotrebu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gotovog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novca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5AD80C69" w14:textId="52D388FD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Imajući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savremeni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metodi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naročito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više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upotrebi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baš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zemljama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okruženju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zemljama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Evropske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unije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predlaže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donošenje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daljem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tekstu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E74403">
        <w:rPr>
          <w:rFonts w:ascii="Times New Roman" w:hAnsi="Times New Roman"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ograničila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radi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:</w:t>
      </w:r>
    </w:p>
    <w:p w14:paraId="2D611101" w14:textId="31A6A4BF" w:rsidR="00714805" w:rsidRPr="00E74403" w:rsidRDefault="00E74403" w:rsidP="00714805">
      <w:pPr>
        <w:pStyle w:val="Default"/>
        <w:numPr>
          <w:ilvl w:val="0"/>
          <w:numId w:val="4"/>
        </w:numPr>
        <w:jc w:val="both"/>
        <w:rPr>
          <w:rFonts w:ascii="Times New Roman" w:eastAsia="Calibri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t>povećanja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transparentnosti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</w:p>
    <w:p w14:paraId="7FD62CAD" w14:textId="15617EFC" w:rsidR="00714805" w:rsidRPr="00E74403" w:rsidRDefault="00E74403" w:rsidP="00714805">
      <w:pPr>
        <w:pStyle w:val="Default"/>
        <w:numPr>
          <w:ilvl w:val="0"/>
          <w:numId w:val="4"/>
        </w:numPr>
        <w:jc w:val="both"/>
        <w:rPr>
          <w:rFonts w:ascii="Times New Roman" w:eastAsia="Calibri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lastRenderedPageBreak/>
        <w:t>smanjenja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konačne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cijene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>,</w:t>
      </w:r>
    </w:p>
    <w:p w14:paraId="567CD677" w14:textId="2878D345" w:rsidR="00714805" w:rsidRPr="00E74403" w:rsidRDefault="00E74403" w:rsidP="00714805">
      <w:pPr>
        <w:pStyle w:val="Default"/>
        <w:numPr>
          <w:ilvl w:val="0"/>
          <w:numId w:val="4"/>
        </w:numPr>
        <w:jc w:val="both"/>
        <w:rPr>
          <w:rFonts w:ascii="Times New Roman" w:eastAsia="Calibri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t>većeg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bezgotovinskog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</w:p>
    <w:p w14:paraId="0E3C898C" w14:textId="32186A44" w:rsidR="00714805" w:rsidRPr="00E74403" w:rsidRDefault="00E74403" w:rsidP="00714805">
      <w:pPr>
        <w:pStyle w:val="Default"/>
        <w:numPr>
          <w:ilvl w:val="0"/>
          <w:numId w:val="4"/>
        </w:numPr>
        <w:jc w:val="both"/>
        <w:rPr>
          <w:rFonts w:ascii="Times New Roman" w:eastAsia="Calibri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manjih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prodajnim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mjestima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</w:p>
    <w:p w14:paraId="43756C11" w14:textId="2C8360D1" w:rsidR="00714805" w:rsidRPr="00E74403" w:rsidRDefault="00E74403" w:rsidP="00714805">
      <w:pPr>
        <w:pStyle w:val="ListParagraph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smanjenja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ekonomije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0ABFA876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5AE7A00" w14:textId="5256C6B3" w:rsidR="00714805" w:rsidRPr="00E74403" w:rsidRDefault="00714805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Kako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nastavio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trend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rasta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upotrebe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bezgotovinskog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zaštitili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interesi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korisnika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jest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učesnika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omogućio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ravnopravan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položaj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svih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učesnika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tržištu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predložena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određena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pravila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418B489D" w14:textId="5856EC55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ukupan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izdatih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fizičkim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licima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iznosio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540.803,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395.705 </w:t>
      </w:r>
      <w:r w:rsidRPr="00E74403">
        <w:rPr>
          <w:rFonts w:ascii="Times New Roman" w:hAnsi="Times New Roman"/>
          <w:sz w:val="24"/>
          <w:szCs w:val="24"/>
          <w:lang w:val="sr-Cyrl-BA"/>
        </w:rPr>
        <w:t>bile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debitne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73%, </w:t>
      </w:r>
      <w:r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145.098 – </w:t>
      </w:r>
      <w:r w:rsidRPr="00E74403">
        <w:rPr>
          <w:rFonts w:ascii="Times New Roman" w:hAnsi="Times New Roman"/>
          <w:sz w:val="24"/>
          <w:szCs w:val="24"/>
          <w:lang w:val="sr-Cyrl-BA"/>
        </w:rPr>
        <w:t>kreditne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27%.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2019. </w:t>
      </w:r>
      <w:r w:rsidRPr="00E74403">
        <w:rPr>
          <w:rFonts w:ascii="Times New Roman" w:hAnsi="Times New Roman"/>
          <w:sz w:val="24"/>
          <w:szCs w:val="24"/>
          <w:lang w:val="sr-Cyrl-BA"/>
        </w:rPr>
        <w:t>godinu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primjetan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značajan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izdatih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kreditnih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njihovo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učešće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ukupnom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podacima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bankarstvo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prikupila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evidentan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Ukupan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izvršenih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debitnih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kreditnih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iznosio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2.333.956.240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veći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8%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2019. </w:t>
      </w:r>
      <w:r w:rsidRPr="00E74403">
        <w:rPr>
          <w:rFonts w:ascii="Times New Roman" w:hAnsi="Times New Roman"/>
          <w:sz w:val="24"/>
          <w:szCs w:val="24"/>
          <w:lang w:val="sr-Cyrl-BA"/>
        </w:rPr>
        <w:t>godinu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čega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debitnom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78,8% </w:t>
      </w:r>
      <w:r w:rsidRPr="00E74403">
        <w:rPr>
          <w:rFonts w:ascii="Times New Roman" w:hAnsi="Times New Roman"/>
          <w:sz w:val="24"/>
          <w:szCs w:val="24"/>
          <w:lang w:val="sr-Cyrl-BA"/>
        </w:rPr>
        <w:t>ukupnog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21,2%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kreditnom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176D7732" w14:textId="7071C2C2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Upotreba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prednosti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trgovce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ovlašćene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organizacije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društvo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cjelini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Osnovna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karakteristika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instrumenta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jeste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omogućavanje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robe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podizanje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gotovog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bankomatima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prodajnim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mjestima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). </w:t>
      </w:r>
      <w:r w:rsidRPr="00E74403">
        <w:rPr>
          <w:rFonts w:ascii="Times New Roman" w:hAnsi="Times New Roman"/>
          <w:sz w:val="24"/>
          <w:szCs w:val="24"/>
          <w:lang w:val="sr-Cyrl-BA"/>
        </w:rPr>
        <w:t>Prednosti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korišćenja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ogledaju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B56AEE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konstantnom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pristupu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računu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bez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obzira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nalazi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zemlji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inostranstvu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jednostavnosti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mogućnosti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putem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interneta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Takođe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jedna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prednosti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upotrebe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jeste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izvršenje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naplaćuje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dodatna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Platna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svome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korisniku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veću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sigurnost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slučaju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gubitka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nošenje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gotovog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omogućava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korisnik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dođe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posjed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falsifikovanog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5D826991" w14:textId="22422F8C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prednosti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ogledaju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B56AEE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smanjenim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polog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pazara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skladu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Uredbom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uslovima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načinu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gotovog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(„</w:t>
      </w:r>
      <w:r w:rsidRPr="00E74403">
        <w:rPr>
          <w:rFonts w:ascii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glasnik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B56AEE" w:rsidRPr="00E74403">
        <w:rPr>
          <w:rFonts w:ascii="Times New Roman" w:hAnsi="Times New Roman"/>
          <w:sz w:val="24"/>
          <w:szCs w:val="24"/>
          <w:lang w:val="sr-Cyrl-BA"/>
        </w:rPr>
        <w:t>“,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86/12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10/14), </w:t>
      </w:r>
      <w:r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smanjuje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odlazaka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pružaoca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uplate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gotovog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ovlašćenim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organizacijama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6F18C68D" w14:textId="1E862622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Dalje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pružaoci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ostvaruju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dodatne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prihode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kroz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prihod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periodičnih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naplaćuju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korisnicima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prihod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upotrebu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terminala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slično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). </w:t>
      </w:r>
      <w:r w:rsidRPr="00E74403">
        <w:rPr>
          <w:rFonts w:ascii="Times New Roman" w:hAnsi="Times New Roman"/>
          <w:sz w:val="24"/>
          <w:szCs w:val="24"/>
          <w:lang w:val="sr-Cyrl-BA"/>
        </w:rPr>
        <w:t>Prednost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obavljanja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pružaoce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ogleda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rashodovnoj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smanjenjem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obrade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gotovog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operativnih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usluživanja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klijenata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Pored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toga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imati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promocije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određenih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ukupno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5BCB9372" w14:textId="754310D7" w:rsidR="00F65D23" w:rsidRPr="00E74403" w:rsidRDefault="00E74403" w:rsidP="00F65D2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Konačno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upotreba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oblika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bezgotovinskog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društvu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smanjenjem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ekonomije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podsticanja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finansijske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inkluzije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31D736D7" w14:textId="77777777" w:rsidR="00B56AEE" w:rsidRPr="00E74403" w:rsidRDefault="00B56AEE" w:rsidP="00F65D2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8427E76" w14:textId="35F16900" w:rsidR="00714805" w:rsidRPr="00E74403" w:rsidRDefault="00E74403" w:rsidP="00F65D2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Pokazatelji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razvijenosti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tržišta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</w:p>
    <w:p w14:paraId="19FA41AC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0B61DEE" w14:textId="147EC330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Osnovna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podjela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dospijeću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izmirenju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skladu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dijele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debitne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odmah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kreditne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kasnije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). </w:t>
      </w: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lastRenderedPageBreak/>
        <w:t>raspoloživim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podacima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putem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banaka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sjedištem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izvršeno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ukupno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23.423.519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ukupnim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prometom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2.400.000.000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što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znači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prosječna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vrijednost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103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Prosječan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godišnji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promet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jednoj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izdatoj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banaka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istoj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godini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iznosio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4.342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55A70103" w14:textId="3D92D1C4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Kada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pitanju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razvijenost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mreže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ATM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uređaja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terminala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podaci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bankarstvo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pokazuju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instalirano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6.029 POS </w:t>
      </w:r>
      <w:r w:rsidRPr="00E74403">
        <w:rPr>
          <w:rFonts w:ascii="Times New Roman" w:hAnsi="Times New Roman"/>
          <w:sz w:val="24"/>
          <w:szCs w:val="24"/>
          <w:lang w:val="sr-Cyrl-BA"/>
        </w:rPr>
        <w:t>terminala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čega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5.850 </w:t>
      </w:r>
      <w:r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179 </w:t>
      </w:r>
      <w:r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samih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banaka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394 </w:t>
      </w:r>
      <w:r w:rsidRPr="00E74403">
        <w:rPr>
          <w:rFonts w:ascii="Times New Roman" w:hAnsi="Times New Roman"/>
          <w:sz w:val="24"/>
          <w:szCs w:val="24"/>
          <w:lang w:val="sr-Cyrl-BA"/>
        </w:rPr>
        <w:t>ATM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uređaja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02DEA9DC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3270143" w14:textId="3A1A3236" w:rsidR="00714805" w:rsidRPr="00E74403" w:rsidRDefault="00E74403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Tabela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Pr="00E74403">
        <w:rPr>
          <w:rFonts w:ascii="Times New Roman" w:hAnsi="Times New Roman"/>
          <w:sz w:val="24"/>
          <w:szCs w:val="24"/>
          <w:lang w:val="sr-Cyrl-BA"/>
        </w:rPr>
        <w:t>Pregled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mreže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</w:p>
    <w:p w14:paraId="7A6844D9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021" w:type="dxa"/>
        <w:tblInd w:w="-5" w:type="dxa"/>
        <w:tblLook w:val="04A0" w:firstRow="1" w:lastRow="0" w:firstColumn="1" w:lastColumn="0" w:noHBand="0" w:noVBand="1"/>
      </w:tblPr>
      <w:tblGrid>
        <w:gridCol w:w="1437"/>
        <w:gridCol w:w="1090"/>
        <w:gridCol w:w="1163"/>
        <w:gridCol w:w="1534"/>
        <w:gridCol w:w="1166"/>
        <w:gridCol w:w="1328"/>
        <w:gridCol w:w="1303"/>
      </w:tblGrid>
      <w:tr w:rsidR="00714805" w:rsidRPr="00E74403" w14:paraId="2445425E" w14:textId="77777777" w:rsidTr="00346131">
        <w:trPr>
          <w:trHeight w:val="446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26440D" w14:textId="6EA0EB1E" w:rsidR="00714805" w:rsidRPr="00E74403" w:rsidRDefault="00E74403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Vrsta</w:t>
            </w:r>
            <w:r w:rsidR="00714805"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uređaja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0D6D15" w14:textId="77777777" w:rsidR="00714805" w:rsidRPr="00E74403" w:rsidRDefault="00714805" w:rsidP="0034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31. 12. 2019.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1E879B" w14:textId="77777777" w:rsidR="00714805" w:rsidRPr="00E74403" w:rsidRDefault="00714805" w:rsidP="003461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31. 12. 2020.</w:t>
            </w:r>
          </w:p>
        </w:tc>
      </w:tr>
      <w:tr w:rsidR="00714805" w:rsidRPr="00E74403" w14:paraId="0A3D5D60" w14:textId="77777777" w:rsidTr="00346131">
        <w:trPr>
          <w:trHeight w:val="464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0FC9C6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BC5831" w14:textId="4F96B936" w:rsidR="00714805" w:rsidRPr="00E74403" w:rsidRDefault="00E74403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u</w:t>
            </w:r>
            <w:r w:rsidR="00714805"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banci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03088" w14:textId="0971BB4E" w:rsidR="00714805" w:rsidRPr="00E74403" w:rsidRDefault="00E74403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izvan</w:t>
            </w:r>
            <w:r w:rsidR="00714805"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banke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2A2BE5A" w14:textId="1E767752" w:rsidR="00714805" w:rsidRPr="00E74403" w:rsidRDefault="00E74403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UKUPNO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6D60BA" w14:textId="5A3253BE" w:rsidR="00714805" w:rsidRPr="00E74403" w:rsidRDefault="00E74403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u</w:t>
            </w:r>
            <w:r w:rsidR="00714805"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banci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24BE34" w14:textId="248C9089" w:rsidR="00714805" w:rsidRPr="00E74403" w:rsidRDefault="00E74403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izvan</w:t>
            </w:r>
            <w:r w:rsidR="00714805"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banke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A18377" w14:textId="6957D7C4" w:rsidR="00714805" w:rsidRPr="00E74403" w:rsidRDefault="00E74403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UKUPNO</w:t>
            </w:r>
          </w:p>
        </w:tc>
      </w:tr>
      <w:tr w:rsidR="00714805" w:rsidRPr="00E74403" w14:paraId="5BBC1087" w14:textId="77777777" w:rsidTr="00346131">
        <w:trPr>
          <w:trHeight w:val="464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3EA23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 xml:space="preserve">POS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A3EBF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5ECF1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6.033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CFC54C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6.213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0D617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179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21642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5.850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CBD04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6.029</w:t>
            </w:r>
          </w:p>
        </w:tc>
      </w:tr>
      <w:tr w:rsidR="00714805" w:rsidRPr="00E74403" w14:paraId="5151E968" w14:textId="77777777" w:rsidTr="00346131">
        <w:trPr>
          <w:trHeight w:val="464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EF39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ATM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031EE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265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8313B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127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857FFF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392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C3220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264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BE351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4"/>
                <w:szCs w:val="24"/>
                <w:lang w:val="sr-Cyrl-BA" w:eastAsia="en-GB"/>
              </w:rPr>
              <w:t>130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C97A2" w14:textId="77777777" w:rsidR="00714805" w:rsidRPr="00E74403" w:rsidRDefault="00714805" w:rsidP="003461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BA" w:eastAsia="en-GB"/>
              </w:rPr>
              <w:t>394</w:t>
            </w:r>
          </w:p>
        </w:tc>
      </w:tr>
    </w:tbl>
    <w:p w14:paraId="4E742687" w14:textId="013DE3ED" w:rsidR="00714805" w:rsidRPr="00E74403" w:rsidRDefault="00E74403" w:rsidP="00714805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sr-Cyrl-BA"/>
        </w:rPr>
      </w:pPr>
      <w:r w:rsidRPr="00E74403">
        <w:rPr>
          <w:rFonts w:ascii="Times New Roman" w:hAnsi="Times New Roman"/>
          <w:i/>
          <w:sz w:val="24"/>
          <w:szCs w:val="24"/>
          <w:lang w:val="sr-Cyrl-BA"/>
        </w:rPr>
        <w:t>Izvor</w:t>
      </w:r>
      <w:r w:rsidR="00714805" w:rsidRPr="00E74403">
        <w:rPr>
          <w:rFonts w:ascii="Times New Roman" w:hAnsi="Times New Roman"/>
          <w:i/>
          <w:sz w:val="24"/>
          <w:szCs w:val="24"/>
          <w:lang w:val="sr-Cyrl-BA"/>
        </w:rPr>
        <w:t xml:space="preserve">: </w:t>
      </w:r>
      <w:r w:rsidRPr="00E74403">
        <w:rPr>
          <w:rFonts w:ascii="Times New Roman" w:hAnsi="Times New Roman"/>
          <w:i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i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i/>
          <w:sz w:val="24"/>
          <w:szCs w:val="24"/>
          <w:lang w:val="sr-Cyrl-BA"/>
        </w:rPr>
        <w:t>bankarstvo</w:t>
      </w:r>
      <w:r w:rsidR="00714805" w:rsidRPr="00E74403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i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i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i/>
          <w:sz w:val="24"/>
          <w:szCs w:val="24"/>
          <w:lang w:val="sr-Cyrl-BA"/>
        </w:rPr>
        <w:t>.</w:t>
      </w:r>
    </w:p>
    <w:p w14:paraId="58F6EA86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38FFC96" w14:textId="69BEC20B" w:rsidR="00714805" w:rsidRPr="00E74403" w:rsidRDefault="00E74403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pokazatelju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bankomata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uređaja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100.000 </w:t>
      </w:r>
      <w:r w:rsidRPr="00E74403">
        <w:rPr>
          <w:rFonts w:ascii="Times New Roman" w:hAnsi="Times New Roman"/>
          <w:sz w:val="24"/>
          <w:szCs w:val="24"/>
          <w:lang w:val="sr-Cyrl-BA"/>
        </w:rPr>
        <w:t>stanovnika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34,67 </w:t>
      </w:r>
      <w:r w:rsidRPr="00E74403">
        <w:rPr>
          <w:rFonts w:ascii="Times New Roman" w:hAnsi="Times New Roman"/>
          <w:sz w:val="24"/>
          <w:szCs w:val="24"/>
          <w:lang w:val="sr-Cyrl-BA"/>
        </w:rPr>
        <w:t>bankomata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530,59 POS </w:t>
      </w:r>
      <w:r w:rsidRPr="00E74403">
        <w:rPr>
          <w:rFonts w:ascii="Times New Roman" w:hAnsi="Times New Roman"/>
          <w:sz w:val="24"/>
          <w:szCs w:val="24"/>
          <w:lang w:val="sr-Cyrl-BA"/>
        </w:rPr>
        <w:t>uređaja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zaostaje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zemljama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okruženja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posebno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Hrvatsku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čiji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pokazatelji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120,92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2.659,96, </w:t>
      </w:r>
      <w:r w:rsidRPr="00E74403">
        <w:rPr>
          <w:rFonts w:ascii="Times New Roman" w:hAnsi="Times New Roman"/>
          <w:sz w:val="24"/>
          <w:szCs w:val="24"/>
          <w:lang w:val="sr-Cyrl-BA"/>
        </w:rPr>
        <w:t>respektivno</w:t>
      </w:r>
      <w:r w:rsidR="00714805" w:rsidRPr="00E74403">
        <w:rPr>
          <w:rStyle w:val="FootnoteReference"/>
          <w:rFonts w:ascii="Times New Roman" w:hAnsi="Times New Roman"/>
          <w:sz w:val="24"/>
          <w:szCs w:val="24"/>
          <w:lang w:val="sr-Cyrl-BA"/>
        </w:rPr>
        <w:footnoteReference w:id="4"/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navedenim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pokazateljima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evidentno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blaže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zaostajanje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Srbiju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bankomata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100.000 </w:t>
      </w:r>
      <w:r w:rsidRPr="00E74403">
        <w:rPr>
          <w:rFonts w:ascii="Times New Roman" w:hAnsi="Times New Roman"/>
          <w:sz w:val="24"/>
          <w:szCs w:val="24"/>
          <w:lang w:val="sr-Cyrl-BA"/>
        </w:rPr>
        <w:t>stanovnika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44,08, </w:t>
      </w:r>
      <w:r w:rsidRPr="00E74403">
        <w:rPr>
          <w:rFonts w:ascii="Times New Roman" w:hAnsi="Times New Roman"/>
          <w:sz w:val="24"/>
          <w:szCs w:val="24"/>
          <w:lang w:val="sr-Cyrl-BA"/>
        </w:rPr>
        <w:t>dok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uređaja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100.000 </w:t>
      </w:r>
      <w:r w:rsidRPr="00E74403">
        <w:rPr>
          <w:rFonts w:ascii="Times New Roman" w:hAnsi="Times New Roman"/>
          <w:sz w:val="24"/>
          <w:szCs w:val="24"/>
          <w:lang w:val="sr-Cyrl-BA"/>
        </w:rPr>
        <w:t>stanovnika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1.416,68</w:t>
      </w:r>
      <w:r w:rsidR="00714805" w:rsidRPr="00E74403">
        <w:rPr>
          <w:rStyle w:val="FootnoteReference"/>
          <w:rFonts w:ascii="Times New Roman" w:hAnsi="Times New Roman"/>
          <w:sz w:val="24"/>
          <w:szCs w:val="24"/>
          <w:lang w:val="sr-Cyrl-BA"/>
        </w:rPr>
        <w:footnoteReference w:id="5"/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22A2D7DE" w14:textId="4704AC4B" w:rsidR="00F65D23" w:rsidRPr="00E74403" w:rsidRDefault="00F65D23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9529B68" w14:textId="77777777" w:rsidR="00DD1204" w:rsidRPr="00E74403" w:rsidRDefault="00DD1204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88246D8" w14:textId="2BBCC68B" w:rsidR="00714805" w:rsidRPr="00E74403" w:rsidRDefault="00E74403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Tabela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2. </w:t>
      </w:r>
      <w:r w:rsidRPr="00E74403">
        <w:rPr>
          <w:rFonts w:ascii="Times New Roman" w:hAnsi="Times New Roman"/>
          <w:sz w:val="24"/>
          <w:szCs w:val="24"/>
          <w:lang w:val="sr-Cyrl-BA"/>
        </w:rPr>
        <w:t>Rasprostranjenost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mreže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godini</w:t>
      </w:r>
    </w:p>
    <w:p w14:paraId="78E4A0AF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Style w:val="TableGrid"/>
        <w:tblW w:w="0" w:type="auto"/>
        <w:tblInd w:w="1539" w:type="dxa"/>
        <w:tblLook w:val="04A0" w:firstRow="1" w:lastRow="0" w:firstColumn="1" w:lastColumn="0" w:noHBand="0" w:noVBand="1"/>
      </w:tblPr>
      <w:tblGrid>
        <w:gridCol w:w="4366"/>
        <w:gridCol w:w="2409"/>
      </w:tblGrid>
      <w:tr w:rsidR="00714805" w:rsidRPr="00E74403" w14:paraId="245693E2" w14:textId="77777777" w:rsidTr="00346131">
        <w:tc>
          <w:tcPr>
            <w:tcW w:w="4366" w:type="dxa"/>
            <w:shd w:val="clear" w:color="auto" w:fill="D9D9D9" w:themeFill="background1" w:themeFillShade="D9"/>
          </w:tcPr>
          <w:p w14:paraId="75F56011" w14:textId="1D4CD00D" w:rsidR="00714805" w:rsidRPr="00E74403" w:rsidRDefault="00E74403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Bankomati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i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POS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uređaji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61736E2D" w14:textId="77777777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</w:tr>
      <w:tr w:rsidR="00714805" w:rsidRPr="00E74403" w14:paraId="172B51F3" w14:textId="77777777" w:rsidTr="00346131">
        <w:tc>
          <w:tcPr>
            <w:tcW w:w="4366" w:type="dxa"/>
          </w:tcPr>
          <w:p w14:paraId="28740F48" w14:textId="2C38CBAD" w:rsidR="00714805" w:rsidRPr="00E74403" w:rsidRDefault="00E74403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Bankomati</w:t>
            </w:r>
          </w:p>
        </w:tc>
        <w:tc>
          <w:tcPr>
            <w:tcW w:w="2409" w:type="dxa"/>
          </w:tcPr>
          <w:p w14:paraId="077B1041" w14:textId="77777777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394</w:t>
            </w:r>
          </w:p>
        </w:tc>
      </w:tr>
      <w:tr w:rsidR="00714805" w:rsidRPr="00E74403" w14:paraId="34E6F6D3" w14:textId="77777777" w:rsidTr="00346131">
        <w:tc>
          <w:tcPr>
            <w:tcW w:w="4366" w:type="dxa"/>
          </w:tcPr>
          <w:p w14:paraId="73F3A3ED" w14:textId="03D2E9BA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POS </w:t>
            </w:r>
            <w:r w:rsidR="00E74403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uređaji</w:t>
            </w:r>
          </w:p>
        </w:tc>
        <w:tc>
          <w:tcPr>
            <w:tcW w:w="2409" w:type="dxa"/>
          </w:tcPr>
          <w:p w14:paraId="64E4B454" w14:textId="77777777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6.029</w:t>
            </w:r>
          </w:p>
        </w:tc>
      </w:tr>
      <w:tr w:rsidR="00714805" w:rsidRPr="00E74403" w14:paraId="6CB796A6" w14:textId="77777777" w:rsidTr="00346131">
        <w:tc>
          <w:tcPr>
            <w:tcW w:w="4366" w:type="dxa"/>
          </w:tcPr>
          <w:p w14:paraId="1B97BD3E" w14:textId="7729D7FF" w:rsidR="00714805" w:rsidRPr="00E74403" w:rsidRDefault="00E74403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Broj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bankomata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na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100.000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stanovnika</w:t>
            </w:r>
            <w:r w:rsidR="00714805" w:rsidRPr="00E74403">
              <w:rPr>
                <w:rStyle w:val="FootnoteReference"/>
                <w:rFonts w:ascii="Times New Roman" w:hAnsi="Times New Roman"/>
                <w:sz w:val="24"/>
                <w:szCs w:val="24"/>
                <w:lang w:val="sr-Cyrl-BA"/>
              </w:rPr>
              <w:footnoteReference w:id="6"/>
            </w:r>
          </w:p>
        </w:tc>
        <w:tc>
          <w:tcPr>
            <w:tcW w:w="2409" w:type="dxa"/>
          </w:tcPr>
          <w:p w14:paraId="2743BD08" w14:textId="77777777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34,67</w:t>
            </w:r>
          </w:p>
        </w:tc>
      </w:tr>
      <w:tr w:rsidR="00714805" w:rsidRPr="00E74403" w14:paraId="637ADC0D" w14:textId="77777777" w:rsidTr="00346131">
        <w:tc>
          <w:tcPr>
            <w:tcW w:w="4366" w:type="dxa"/>
          </w:tcPr>
          <w:p w14:paraId="5A1B47BA" w14:textId="0DE28306" w:rsidR="00714805" w:rsidRPr="00E74403" w:rsidRDefault="00E74403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Broj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POS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uređaja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na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100.000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stanovnika</w:t>
            </w:r>
          </w:p>
        </w:tc>
        <w:tc>
          <w:tcPr>
            <w:tcW w:w="2409" w:type="dxa"/>
          </w:tcPr>
          <w:p w14:paraId="639B9A49" w14:textId="77777777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530,59</w:t>
            </w:r>
          </w:p>
        </w:tc>
      </w:tr>
      <w:tr w:rsidR="00714805" w:rsidRPr="00E74403" w14:paraId="2DA74F2B" w14:textId="77777777" w:rsidTr="00346131">
        <w:tc>
          <w:tcPr>
            <w:tcW w:w="4366" w:type="dxa"/>
          </w:tcPr>
          <w:p w14:paraId="7B58D063" w14:textId="02A0C571" w:rsidR="00714805" w:rsidRPr="00E74403" w:rsidRDefault="00E74403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Broj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bankomata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po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km²</w:t>
            </w:r>
            <w:r w:rsidR="00714805" w:rsidRPr="00E74403">
              <w:rPr>
                <w:rStyle w:val="FootnoteReference"/>
                <w:rFonts w:ascii="Times New Roman" w:hAnsi="Times New Roman"/>
                <w:sz w:val="24"/>
                <w:szCs w:val="24"/>
                <w:lang w:val="sr-Cyrl-BA"/>
              </w:rPr>
              <w:footnoteReference w:id="7"/>
            </w:r>
          </w:p>
        </w:tc>
        <w:tc>
          <w:tcPr>
            <w:tcW w:w="2409" w:type="dxa"/>
          </w:tcPr>
          <w:p w14:paraId="193F54DD" w14:textId="77777777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0,02</w:t>
            </w:r>
          </w:p>
        </w:tc>
      </w:tr>
      <w:tr w:rsidR="00714805" w:rsidRPr="00E74403" w14:paraId="26EFAE91" w14:textId="77777777" w:rsidTr="00346131">
        <w:tc>
          <w:tcPr>
            <w:tcW w:w="4366" w:type="dxa"/>
          </w:tcPr>
          <w:p w14:paraId="0694F6E5" w14:textId="537EC1A4" w:rsidR="00714805" w:rsidRPr="00E74403" w:rsidRDefault="00E74403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Broj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POS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uređaja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po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km²</w:t>
            </w:r>
          </w:p>
        </w:tc>
        <w:tc>
          <w:tcPr>
            <w:tcW w:w="2409" w:type="dxa"/>
          </w:tcPr>
          <w:p w14:paraId="1BD0739A" w14:textId="77777777" w:rsidR="00714805" w:rsidRPr="00E74403" w:rsidRDefault="00714805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0,24</w:t>
            </w:r>
          </w:p>
        </w:tc>
      </w:tr>
    </w:tbl>
    <w:p w14:paraId="5408BF6D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08CD91F" w14:textId="12A8F208" w:rsidR="009F78FF" w:rsidRPr="00E74403" w:rsidRDefault="00E74403" w:rsidP="00E7440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tržištu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554.238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540.803 </w:t>
      </w:r>
      <w:r w:rsidRPr="00E74403">
        <w:rPr>
          <w:rFonts w:ascii="Times New Roman" w:hAnsi="Times New Roman"/>
          <w:sz w:val="24"/>
          <w:szCs w:val="24"/>
          <w:lang w:val="sr-Cyrl-BA"/>
        </w:rPr>
        <w:t>odnose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fizičkih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lica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dok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13.435 </w:t>
      </w:r>
      <w:r w:rsidRPr="00E74403">
        <w:rPr>
          <w:rFonts w:ascii="Times New Roman" w:hAnsi="Times New Roman"/>
          <w:sz w:val="24"/>
          <w:szCs w:val="24"/>
          <w:lang w:val="sr-Cyrl-BA"/>
        </w:rPr>
        <w:t>odnosi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najzastupljenije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debitne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napomenu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kreditnih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posebno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kreditnih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odgođenim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bilježi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prethodnu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godinu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3A05CAB2" w14:textId="3A834461" w:rsidR="00714805" w:rsidRPr="00E74403" w:rsidRDefault="00E74403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lastRenderedPageBreak/>
        <w:t>Tabela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3. </w:t>
      </w:r>
      <w:r w:rsidRPr="00E74403">
        <w:rPr>
          <w:rFonts w:ascii="Times New Roman" w:hAnsi="Times New Roman"/>
          <w:sz w:val="24"/>
          <w:szCs w:val="24"/>
          <w:lang w:val="sr-Cyrl-BA"/>
        </w:rPr>
        <w:t>Promet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vrsti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obimu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9F78FF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</w:p>
    <w:tbl>
      <w:tblPr>
        <w:tblpPr w:leftFromText="180" w:rightFromText="180" w:vertAnchor="text" w:horzAnchor="margin" w:tblpXSpec="center" w:tblpY="176"/>
        <w:tblW w:w="9111" w:type="dxa"/>
        <w:tblLook w:val="04A0" w:firstRow="1" w:lastRow="0" w:firstColumn="1" w:lastColumn="0" w:noHBand="0" w:noVBand="1"/>
      </w:tblPr>
      <w:tblGrid>
        <w:gridCol w:w="1150"/>
        <w:gridCol w:w="840"/>
        <w:gridCol w:w="1153"/>
        <w:gridCol w:w="866"/>
        <w:gridCol w:w="1266"/>
        <w:gridCol w:w="840"/>
        <w:gridCol w:w="1153"/>
        <w:gridCol w:w="869"/>
        <w:gridCol w:w="1266"/>
      </w:tblGrid>
      <w:tr w:rsidR="009F78FF" w:rsidRPr="00E74403" w14:paraId="51281514" w14:textId="77777777" w:rsidTr="009F78FF">
        <w:trPr>
          <w:trHeight w:val="391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7798A8" w14:textId="1BF340B0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Vrsta</w:t>
            </w:r>
            <w:r w:rsidR="009F78FF"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kartice</w:t>
            </w:r>
          </w:p>
        </w:tc>
        <w:tc>
          <w:tcPr>
            <w:tcW w:w="4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284863" w14:textId="77777777" w:rsidR="009F78FF" w:rsidRPr="00E74403" w:rsidRDefault="009F78FF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31. 12. 2019.</w:t>
            </w:r>
          </w:p>
        </w:tc>
        <w:tc>
          <w:tcPr>
            <w:tcW w:w="4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6DD243" w14:textId="77777777" w:rsidR="009F78FF" w:rsidRPr="00E74403" w:rsidRDefault="009F78FF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31. 12. 2020.</w:t>
            </w:r>
          </w:p>
        </w:tc>
      </w:tr>
      <w:tr w:rsidR="009F78FF" w:rsidRPr="00E74403" w14:paraId="540376FE" w14:textId="77777777" w:rsidTr="009F78FF">
        <w:trPr>
          <w:trHeight w:val="391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BD77B6" w14:textId="77777777" w:rsidR="009F78FF" w:rsidRPr="00E74403" w:rsidRDefault="009F78FF" w:rsidP="009F78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A6339E" w14:textId="110F90A2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Pravna</w:t>
            </w:r>
            <w:r w:rsidR="009F78FF"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lica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171E93" w14:textId="53F8CD5C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Fizička</w:t>
            </w:r>
            <w:r w:rsidR="009F78FF"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lica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FCAFA4" w14:textId="7904025A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Pravna</w:t>
            </w:r>
            <w:r w:rsidR="009F78FF"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lica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EAEFEF" w14:textId="77381890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Fizička</w:t>
            </w:r>
            <w:r w:rsidR="009F78FF"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lica</w:t>
            </w:r>
          </w:p>
        </w:tc>
      </w:tr>
      <w:tr w:rsidR="009F78FF" w:rsidRPr="00E74403" w14:paraId="24704205" w14:textId="77777777" w:rsidTr="009F78FF">
        <w:trPr>
          <w:trHeight w:val="999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F8DFF1" w14:textId="77777777" w:rsidR="009F78FF" w:rsidRPr="00E74403" w:rsidRDefault="009F78FF" w:rsidP="009F78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3E915" w14:textId="71539B9F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Broj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kartica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019DE0" w14:textId="47EF8FCA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Iznos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transakcija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br/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u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000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126CA5" w14:textId="6ACCF1D0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Broj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kartica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CDEE0B7" w14:textId="7FE6EEF3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Iznos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transakcija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br/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u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000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5FA01A" w14:textId="4E0C3E0C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Broj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kartica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8DD432" w14:textId="31367DA3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Iznos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transakcija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br/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u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000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KM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25856" w14:textId="20ADC0D7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Broj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kartica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D38A5F" w14:textId="54B8E258" w:rsidR="009F78FF" w:rsidRPr="00E74403" w:rsidRDefault="00E74403" w:rsidP="009F7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Iznos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transakcija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br/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u</w:t>
            </w:r>
            <w:r w:rsidR="009F78FF"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 xml:space="preserve"> 000 </w:t>
            </w: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KM</w:t>
            </w:r>
          </w:p>
        </w:tc>
      </w:tr>
      <w:tr w:rsidR="009F78FF" w:rsidRPr="00E74403" w14:paraId="2D68E74A" w14:textId="77777777" w:rsidTr="009F78FF">
        <w:trPr>
          <w:trHeight w:val="391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175B0" w14:textId="14DF8B4D" w:rsidR="009F78FF" w:rsidRPr="00E74403" w:rsidRDefault="00E74403" w:rsidP="009F7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Debitna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C996F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10.922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70F85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66.466,35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B1848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485.718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0F2B68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2.076.551,53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0FB2E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12.853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0CCFF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71.232,32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51416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395.705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07016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1.839.725,01</w:t>
            </w:r>
          </w:p>
        </w:tc>
      </w:tr>
      <w:tr w:rsidR="009F78FF" w:rsidRPr="00E74403" w14:paraId="61E4F0C9" w14:textId="77777777" w:rsidTr="009F78FF">
        <w:trPr>
          <w:trHeight w:val="391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DDFEB" w14:textId="309B7CBD" w:rsidR="009F78FF" w:rsidRPr="00E74403" w:rsidRDefault="00E74403" w:rsidP="009F7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Kreditna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412A2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875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BD001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3.694,54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799A6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56.418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4E1C45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80.174,11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F47EE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582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7262A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1.112,88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FF5A5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145.098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F935C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sz w:val="20"/>
                <w:szCs w:val="20"/>
                <w:lang w:val="sr-Cyrl-BA" w:eastAsia="en-GB"/>
              </w:rPr>
              <w:t>494.231,23</w:t>
            </w:r>
          </w:p>
        </w:tc>
      </w:tr>
      <w:tr w:rsidR="009F78FF" w:rsidRPr="00E74403" w14:paraId="725A6D5E" w14:textId="77777777" w:rsidTr="009F78FF">
        <w:trPr>
          <w:trHeight w:val="391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F629FC" w14:textId="65E93BE8" w:rsidR="009F78FF" w:rsidRPr="00E74403" w:rsidRDefault="00E74403" w:rsidP="009F78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UKUPNO</w:t>
            </w:r>
            <w:r w:rsidR="009F78FF"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B57B1E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11.797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410E2E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70.160,89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C9E435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542.136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F44BBDD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2.156.725,64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E7FBCF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13.435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B3E4AF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72.345,20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58AEB2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540.803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32A115" w14:textId="77777777" w:rsidR="009F78FF" w:rsidRPr="00E74403" w:rsidRDefault="009F78FF" w:rsidP="009F7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</w:pPr>
            <w:r w:rsidRPr="00E744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BA" w:eastAsia="en-GB"/>
              </w:rPr>
              <w:t>2.333.956,24</w:t>
            </w:r>
          </w:p>
        </w:tc>
      </w:tr>
    </w:tbl>
    <w:p w14:paraId="6D19F001" w14:textId="72ACF15C" w:rsidR="009F78FF" w:rsidRPr="00E74403" w:rsidRDefault="00E74403" w:rsidP="00714805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BA"/>
        </w:rPr>
      </w:pPr>
      <w:r w:rsidRPr="00E74403">
        <w:rPr>
          <w:rFonts w:ascii="Times New Roman" w:hAnsi="Times New Roman"/>
          <w:i/>
          <w:sz w:val="20"/>
          <w:szCs w:val="20"/>
          <w:lang w:val="sr-Cyrl-BA"/>
        </w:rPr>
        <w:t>Izvor</w:t>
      </w:r>
      <w:r w:rsidR="009F78FF" w:rsidRPr="00E74403">
        <w:rPr>
          <w:rFonts w:ascii="Times New Roman" w:hAnsi="Times New Roman"/>
          <w:i/>
          <w:sz w:val="20"/>
          <w:szCs w:val="20"/>
          <w:lang w:val="sr-Cyrl-BA"/>
        </w:rPr>
        <w:t xml:space="preserve">: </w:t>
      </w:r>
      <w:r w:rsidRPr="00E74403">
        <w:rPr>
          <w:rFonts w:ascii="Times New Roman" w:hAnsi="Times New Roman"/>
          <w:i/>
          <w:sz w:val="20"/>
          <w:szCs w:val="20"/>
          <w:lang w:val="sr-Cyrl-BA"/>
        </w:rPr>
        <w:t>Agencija</w:t>
      </w:r>
      <w:r w:rsidR="009F78FF" w:rsidRPr="00E74403">
        <w:rPr>
          <w:rFonts w:ascii="Times New Roman" w:hAnsi="Times New Roman"/>
          <w:i/>
          <w:sz w:val="20"/>
          <w:szCs w:val="20"/>
          <w:lang w:val="sr-Cyrl-BA"/>
        </w:rPr>
        <w:t xml:space="preserve"> </w:t>
      </w:r>
      <w:r w:rsidRPr="00E74403">
        <w:rPr>
          <w:rFonts w:ascii="Times New Roman" w:hAnsi="Times New Roman"/>
          <w:i/>
          <w:sz w:val="20"/>
          <w:szCs w:val="20"/>
          <w:lang w:val="sr-Cyrl-BA"/>
        </w:rPr>
        <w:t>za</w:t>
      </w:r>
      <w:r w:rsidR="009F78FF" w:rsidRPr="00E74403">
        <w:rPr>
          <w:rFonts w:ascii="Times New Roman" w:hAnsi="Times New Roman"/>
          <w:i/>
          <w:sz w:val="20"/>
          <w:szCs w:val="20"/>
          <w:lang w:val="sr-Cyrl-BA"/>
        </w:rPr>
        <w:t xml:space="preserve"> </w:t>
      </w:r>
      <w:r w:rsidRPr="00E74403">
        <w:rPr>
          <w:rFonts w:ascii="Times New Roman" w:hAnsi="Times New Roman"/>
          <w:i/>
          <w:sz w:val="20"/>
          <w:szCs w:val="20"/>
          <w:lang w:val="sr-Cyrl-BA"/>
        </w:rPr>
        <w:t>bankarstvo</w:t>
      </w:r>
      <w:r w:rsidR="009F78FF" w:rsidRPr="00E74403">
        <w:rPr>
          <w:rFonts w:ascii="Times New Roman" w:hAnsi="Times New Roman"/>
          <w:i/>
          <w:sz w:val="20"/>
          <w:szCs w:val="20"/>
          <w:lang w:val="sr-Cyrl-BA"/>
        </w:rPr>
        <w:t xml:space="preserve"> </w:t>
      </w:r>
      <w:r w:rsidRPr="00E74403">
        <w:rPr>
          <w:rFonts w:ascii="Times New Roman" w:hAnsi="Times New Roman"/>
          <w:i/>
          <w:sz w:val="20"/>
          <w:szCs w:val="20"/>
          <w:lang w:val="sr-Cyrl-BA"/>
        </w:rPr>
        <w:t>Republike</w:t>
      </w:r>
      <w:r w:rsidR="009F78FF" w:rsidRPr="00E74403">
        <w:rPr>
          <w:rFonts w:ascii="Times New Roman" w:hAnsi="Times New Roman"/>
          <w:i/>
          <w:sz w:val="20"/>
          <w:szCs w:val="20"/>
          <w:lang w:val="sr-Cyrl-BA"/>
        </w:rPr>
        <w:t xml:space="preserve"> </w:t>
      </w:r>
      <w:r w:rsidRPr="00E74403">
        <w:rPr>
          <w:rFonts w:ascii="Times New Roman" w:hAnsi="Times New Roman"/>
          <w:i/>
          <w:sz w:val="20"/>
          <w:szCs w:val="20"/>
          <w:lang w:val="sr-Cyrl-BA"/>
        </w:rPr>
        <w:t>Srpske</w:t>
      </w:r>
      <w:r w:rsidR="009F78FF" w:rsidRPr="00E74403">
        <w:rPr>
          <w:rFonts w:ascii="Times New Roman" w:hAnsi="Times New Roman"/>
          <w:sz w:val="20"/>
          <w:szCs w:val="20"/>
          <w:lang w:val="sr-Cyrl-BA"/>
        </w:rPr>
        <w:t>.</w:t>
      </w:r>
    </w:p>
    <w:p w14:paraId="452810D5" w14:textId="6F4E7EC2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D1A967E" w14:textId="78720E6E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vlasnici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izdatih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realizovali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ATM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uređajima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inostranstvu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vrijednosti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218.615.946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izdatim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inostranstvu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ATM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uređajima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banaka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2020. </w:t>
      </w:r>
      <w:r w:rsidRPr="00E74403">
        <w:rPr>
          <w:rFonts w:ascii="Times New Roman" w:hAnsi="Times New Roman"/>
          <w:sz w:val="24"/>
          <w:szCs w:val="24"/>
          <w:lang w:val="sr-Cyrl-BA"/>
        </w:rPr>
        <w:t>godini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realizovana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vrijednost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349.169.779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700C34D0" w14:textId="7516ED44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Imajući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navedene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pokazatelje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sporiji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razvoj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tržišta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izazvan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određenim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postoje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tržištu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domenu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onemogućavaju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upotrebu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instrumenata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uzrokuju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najniže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učesnike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Pomenuta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važnijih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razloga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zbog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destimulisani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pogledu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bezgotovinskog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instrumenta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što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posljedicu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smanjenje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bezgotovinskih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veću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mogućnost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pojavu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ekonomije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Veća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upotreba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bezgotovinskog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doprinijela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smanjivanju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ekonomije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kroz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transparentnost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finansijskih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1F5315FC" w14:textId="0F3CE311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Visoki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prodajnim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mjestima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veoma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bitan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razlog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zbog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mali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teže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opredjeljuju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zbog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nemaju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terminale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517F394A" w14:textId="75B50E50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Naime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okviru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četvorostranog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prihvatilac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ugovor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plaća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novčani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prodatu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robu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umanjen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Npr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ako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100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određenu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robu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dobiti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98 </w:t>
      </w:r>
      <w:r w:rsidRPr="00E74403">
        <w:rPr>
          <w:rFonts w:ascii="Times New Roman" w:hAnsi="Times New Roman"/>
          <w:sz w:val="24"/>
          <w:szCs w:val="24"/>
          <w:lang w:val="sr-Cyrl-BA"/>
        </w:rPr>
        <w:t>KM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razliku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zadržati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prihvatilac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prihvatiocu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ugovor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svaku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izvršenu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Kako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realizaciji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korišćenjem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učestvuju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različite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ekonomske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moći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time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nejednake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pregovaračke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snage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prilikom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zasnivanja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konkretnog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ugovornog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prirodno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praksi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željene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opšte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značajnoj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mjeri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deformišu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preliju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jače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ugovorne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očekivani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efekti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tehnoloških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inovacija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nerijetko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izostanu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05BA7DC0" w14:textId="0970936E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Style w:val="TableGrid"/>
        <w:tblpPr w:leftFromText="180" w:rightFromText="180" w:vertAnchor="text" w:horzAnchor="margin" w:tblpXSpec="center" w:tblpY="45"/>
        <w:tblW w:w="6487" w:type="dxa"/>
        <w:tblLook w:val="04A0" w:firstRow="1" w:lastRow="0" w:firstColumn="1" w:lastColumn="0" w:noHBand="0" w:noVBand="1"/>
      </w:tblPr>
      <w:tblGrid>
        <w:gridCol w:w="2660"/>
        <w:gridCol w:w="1134"/>
        <w:gridCol w:w="992"/>
        <w:gridCol w:w="992"/>
        <w:gridCol w:w="709"/>
      </w:tblGrid>
      <w:tr w:rsidR="00714805" w:rsidRPr="00E74403" w14:paraId="1119A506" w14:textId="77777777" w:rsidTr="00346131">
        <w:trPr>
          <w:trHeight w:val="363"/>
        </w:trPr>
        <w:tc>
          <w:tcPr>
            <w:tcW w:w="6487" w:type="dxa"/>
            <w:gridSpan w:val="5"/>
            <w:shd w:val="clear" w:color="auto" w:fill="BFBFBF" w:themeFill="background1" w:themeFillShade="BF"/>
          </w:tcPr>
          <w:p w14:paraId="5E76DD6E" w14:textId="5EA91473" w:rsidR="00714805" w:rsidRPr="00E74403" w:rsidRDefault="00E74403" w:rsidP="0034613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Trgovačka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naknada</w:t>
            </w:r>
          </w:p>
        </w:tc>
      </w:tr>
      <w:tr w:rsidR="00714805" w:rsidRPr="00E74403" w14:paraId="6FBFC21A" w14:textId="77777777" w:rsidTr="00346131">
        <w:trPr>
          <w:cantSplit/>
          <w:trHeight w:val="1544"/>
        </w:trPr>
        <w:tc>
          <w:tcPr>
            <w:tcW w:w="2660" w:type="dxa"/>
          </w:tcPr>
          <w:p w14:paraId="1FDC856A" w14:textId="77777777" w:rsidR="00714805" w:rsidRPr="00E74403" w:rsidRDefault="00714805" w:rsidP="009F78F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14:paraId="69F6E9C1" w14:textId="48448442" w:rsidR="00714805" w:rsidRPr="00E74403" w:rsidRDefault="00E74403" w:rsidP="009F78F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Međubankarska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naknada</w:t>
            </w:r>
          </w:p>
          <w:p w14:paraId="40727E6F" w14:textId="77777777" w:rsidR="00714805" w:rsidRPr="00E74403" w:rsidRDefault="00714805" w:rsidP="009F78F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1134" w:type="dxa"/>
            <w:textDirection w:val="tbRl"/>
          </w:tcPr>
          <w:p w14:paraId="036942B1" w14:textId="2DF26F03" w:rsidR="00714805" w:rsidRPr="00E74403" w:rsidRDefault="00E74403" w:rsidP="009F78F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Naknada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kartične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šeme</w:t>
            </w:r>
          </w:p>
        </w:tc>
        <w:tc>
          <w:tcPr>
            <w:tcW w:w="992" w:type="dxa"/>
            <w:textDirection w:val="tbRl"/>
          </w:tcPr>
          <w:p w14:paraId="78303605" w14:textId="25393565" w:rsidR="00714805" w:rsidRPr="00E74403" w:rsidRDefault="00E74403" w:rsidP="009F78F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Naknada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procesora</w:t>
            </w:r>
          </w:p>
          <w:p w14:paraId="6C956715" w14:textId="77777777" w:rsidR="00714805" w:rsidRPr="00E74403" w:rsidRDefault="00714805" w:rsidP="009F78F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</w:tc>
        <w:tc>
          <w:tcPr>
            <w:tcW w:w="992" w:type="dxa"/>
            <w:textDirection w:val="tbRl"/>
          </w:tcPr>
          <w:p w14:paraId="3AA087D7" w14:textId="444690EC" w:rsidR="00714805" w:rsidRPr="00E74403" w:rsidRDefault="00E74403" w:rsidP="009F78F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Operativni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troškovi</w:t>
            </w:r>
          </w:p>
        </w:tc>
        <w:tc>
          <w:tcPr>
            <w:tcW w:w="709" w:type="dxa"/>
            <w:textDirection w:val="tbRl"/>
          </w:tcPr>
          <w:p w14:paraId="3B881CA5" w14:textId="44E64A50" w:rsidR="00714805" w:rsidRPr="00E74403" w:rsidRDefault="00E74403" w:rsidP="009F78F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Margina</w:t>
            </w:r>
            <w:r w:rsidR="00714805"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E74403">
              <w:rPr>
                <w:rFonts w:ascii="Times New Roman" w:hAnsi="Times New Roman"/>
                <w:sz w:val="24"/>
                <w:szCs w:val="24"/>
                <w:lang w:val="sr-Cyrl-BA"/>
              </w:rPr>
              <w:t>banke</w:t>
            </w:r>
          </w:p>
        </w:tc>
      </w:tr>
    </w:tbl>
    <w:p w14:paraId="2A864952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CB79B96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AD8D0AA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AC9D74F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C55CB77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26B5EEF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C25D455" w14:textId="77777777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6E32911" w14:textId="3ED4874D" w:rsidR="00714805" w:rsidRPr="00E74403" w:rsidRDefault="00714805" w:rsidP="0071480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3AB58BA" w14:textId="72519D2C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lastRenderedPageBreak/>
        <w:t>Ukupna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predstavlja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zbir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nekoliko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pod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)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najznačajnija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tzv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prihvatilac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izdavaocu</w:t>
      </w:r>
      <w:r w:rsidR="00DD120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DD120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DD1204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banci</w:t>
      </w:r>
      <w:r w:rsidR="00DD1204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kupca</w:t>
      </w:r>
      <w:r w:rsidR="00DD1204" w:rsidRPr="00E74403">
        <w:rPr>
          <w:rFonts w:ascii="Times New Roman" w:hAnsi="Times New Roman"/>
          <w:sz w:val="24"/>
          <w:szCs w:val="24"/>
          <w:lang w:val="sr-Cyrl-BA"/>
        </w:rPr>
        <w:t>)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prilikom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svake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kupovine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robe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pomoć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Pored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strukturi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nalaze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šeme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ostalih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stvarno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imaju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E74403">
        <w:rPr>
          <w:rFonts w:ascii="Times New Roman" w:hAnsi="Times New Roman"/>
          <w:sz w:val="24"/>
          <w:szCs w:val="24"/>
          <w:lang w:val="sr-Cyrl-BA"/>
        </w:rPr>
        <w:t>obrade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procesinga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nezavisno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toga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obradu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vrše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samostalno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taj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eksternalizuju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posebnog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procesora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operativnih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jeste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prihvatilac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Pr="00E74403">
        <w:rPr>
          <w:rFonts w:ascii="Times New Roman" w:hAnsi="Times New Roman"/>
          <w:sz w:val="24"/>
          <w:szCs w:val="24"/>
          <w:lang w:val="sr-Cyrl-BA"/>
        </w:rPr>
        <w:t>plaća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konkretnoj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šemi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npr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Visa, Mastercard)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cjelokupnu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infrastrukturu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samo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dio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jedinstvenog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skupa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praksi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standarda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procedura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uspostavlja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odgovara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posebno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tijelo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subjekt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organizator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konkretne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šeme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Uz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stvarnih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održavanja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mreže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uključena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odgovarajuća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margina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3F77B275" w14:textId="61A249DF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raspoloživim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podacima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najznačajniji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iako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neposredno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ipak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diktiraju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šeme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predstavlja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specifičan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mehanizam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stimulisanje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određenog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brenda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obično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izdavaocu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nudi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najvišu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E74403">
        <w:rPr>
          <w:rFonts w:ascii="Times New Roman" w:hAnsi="Times New Roman"/>
          <w:sz w:val="24"/>
          <w:szCs w:val="24"/>
          <w:lang w:val="sr-Cyrl-BA"/>
        </w:rPr>
        <w:t>što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predstavlja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jedan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razloga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zbog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pored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značajnog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prometa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nisu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snizili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najzastupljenija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najmasovnije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korišćene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proizvode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Naime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šeme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nadmećući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većim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dozvoljavaju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izdavaocima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svakoj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izvršenoj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korišćenjem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konkretne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šeme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Pr="00E74403">
        <w:rPr>
          <w:rFonts w:ascii="Times New Roman" w:hAnsi="Times New Roman"/>
          <w:sz w:val="24"/>
          <w:szCs w:val="24"/>
          <w:lang w:val="sr-Cyrl-BA"/>
        </w:rPr>
        <w:t>naplaćuju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iznose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POS </w:t>
      </w:r>
      <w:r w:rsidRPr="00E74403">
        <w:rPr>
          <w:rFonts w:ascii="Times New Roman" w:hAnsi="Times New Roman"/>
          <w:sz w:val="24"/>
          <w:szCs w:val="24"/>
          <w:lang w:val="sr-Cyrl-BA"/>
        </w:rPr>
        <w:t>terminalu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instaliranom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prodajnom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mjestu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što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poznato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efekat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inverzne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konkurencije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prihvatilac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naplaćuje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klijenta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Pr="00E74403">
        <w:rPr>
          <w:rFonts w:ascii="Times New Roman" w:hAnsi="Times New Roman"/>
          <w:sz w:val="24"/>
          <w:szCs w:val="24"/>
          <w:lang w:val="sr-Cyrl-BA"/>
        </w:rPr>
        <w:t>trgovca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zbog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čega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postaje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skuplje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iako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izdatih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vrijednost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mogućnost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formira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više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cijene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proizvoda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ukoliko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vrši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niže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cijene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ukoliko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vrši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gotovim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novcem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što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dovodi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opšteg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cijena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6E061901" w14:textId="0BC2E3CE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skladu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navedenim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određivanja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proizlazi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visoke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prihvatiocu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uglavnom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poznat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sastav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mogućnost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usmjerava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kupca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vrši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predstavlja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niži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trošak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Posljedično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destimulisani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pogledu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bezgotovinskog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instrumenta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rastuće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prebacuju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kupce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što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dovodi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opšteg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rasta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cijena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7AFA27C8" w14:textId="6ED2AF4B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Pored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toga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pravila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dovela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situacije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jedinstvenu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trgovačku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bez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diferenciranja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visini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brendovima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nametnulo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brendovi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niskim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praktično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subvencionišu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upotrebu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brendova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mnogo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viši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69D51D90" w14:textId="2BE07A38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Dalje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obavezu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istog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nezavisno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različitih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vezi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element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proizvoda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).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prisutno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moraju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prihvatiti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nezavisno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toga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izdavalac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E74403">
        <w:rPr>
          <w:rFonts w:ascii="Times New Roman" w:hAnsi="Times New Roman"/>
          <w:sz w:val="24"/>
          <w:szCs w:val="24"/>
          <w:lang w:val="sr-Cyrl-BA"/>
        </w:rPr>
        <w:t>element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izdavalaca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).</w:t>
      </w:r>
    </w:p>
    <w:p w14:paraId="2FDC0B89" w14:textId="4C0A7E0E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Dakle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zaštitili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potrošači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interesu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utvrdi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lastRenderedPageBreak/>
        <w:t>mogu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razliku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iste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kategorije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izdavaoca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korisnika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nameće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pravilo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izdavaoca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određene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vrste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brenda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Međutim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pravilo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proizvoda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dovodi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situacije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automatski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obavezu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visokim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ako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prihvataju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niskim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troškovima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istog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brenda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što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praksi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treba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promijeniti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27B341AA" w14:textId="0960F1FA" w:rsidR="00714805" w:rsidRPr="00E74403" w:rsidRDefault="00E74403" w:rsidP="00714805">
      <w:pPr>
        <w:pStyle w:val="Default"/>
        <w:ind w:firstLine="720"/>
        <w:jc w:val="both"/>
        <w:rPr>
          <w:rFonts w:ascii="Times New Roman" w:eastAsia="Calibri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navedene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pojave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tržištu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odnose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visok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nivo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čini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najveći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dio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trgovačke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zatim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utvrđivanje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jedinstvene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trgovačke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netransparentna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pravila</w:t>
      </w:r>
      <w:r w:rsidR="00DD1204" w:rsidRPr="00E74403">
        <w:rPr>
          <w:rFonts w:ascii="Times New Roman" w:eastAsia="Calibri" w:hAnsi="Times New Roman" w:cs="Times New Roman"/>
          <w:color w:val="auto"/>
          <w:lang w:val="sr-Cyrl-BA"/>
        </w:rPr>
        <w:t>,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dovele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sporijeg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rasta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razvoja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tržišta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što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uslovljava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manji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bezgotovinskih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>.</w:t>
      </w:r>
    </w:p>
    <w:p w14:paraId="22EAE7C2" w14:textId="77777777" w:rsidR="00714805" w:rsidRPr="00E74403" w:rsidRDefault="00714805" w:rsidP="00714805">
      <w:pPr>
        <w:pStyle w:val="Default"/>
        <w:jc w:val="both"/>
        <w:rPr>
          <w:rFonts w:ascii="Times New Roman" w:eastAsia="Calibri" w:hAnsi="Times New Roman" w:cs="Times New Roman"/>
          <w:color w:val="auto"/>
          <w:lang w:val="sr-Cyrl-BA"/>
        </w:rPr>
      </w:pPr>
    </w:p>
    <w:p w14:paraId="28C9BE84" w14:textId="6FD91E5A" w:rsidR="00714805" w:rsidRPr="00E74403" w:rsidRDefault="00E74403" w:rsidP="0071480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izradi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korišćena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zakonska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rješenja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preporuke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sadržane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relevantnim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direktivama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ostalim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izvorima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relevantna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rješenja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uporednog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prava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zemalja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okruženja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14:paraId="5E9E9AE7" w14:textId="0299B505" w:rsidR="00714805" w:rsidRPr="00E74403" w:rsidRDefault="00714805" w:rsidP="007148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 xml:space="preserve">1)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okvir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Bosne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Hercegovine</w:t>
      </w:r>
      <w:r w:rsidRPr="00E74403">
        <w:rPr>
          <w:rFonts w:ascii="Times New Roman" w:hAnsi="Times New Roman"/>
          <w:sz w:val="24"/>
          <w:szCs w:val="24"/>
          <w:lang w:val="sr-Cyrl-BA"/>
        </w:rPr>
        <w:t>:</w:t>
      </w:r>
    </w:p>
    <w:p w14:paraId="05A97EAA" w14:textId="7A83DBE4" w:rsidR="00714805" w:rsidRPr="00E74403" w:rsidRDefault="00E74403" w:rsidP="0071480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(„</w:t>
      </w:r>
      <w:r w:rsidRPr="00E74403">
        <w:rPr>
          <w:rFonts w:ascii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glasnik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hAnsi="Times New Roman"/>
          <w:sz w:val="24"/>
          <w:szCs w:val="24"/>
          <w:lang w:val="sr-Cyrl-BA"/>
        </w:rPr>
        <w:t>br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4/17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19/18), </w:t>
      </w:r>
    </w:p>
    <w:p w14:paraId="526D0511" w14:textId="5F707356" w:rsidR="00714805" w:rsidRPr="00E74403" w:rsidRDefault="00E74403" w:rsidP="0071480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unutrašnjem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prometu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(„</w:t>
      </w:r>
      <w:r w:rsidRPr="00E74403">
        <w:rPr>
          <w:rFonts w:ascii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glasnik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hAnsi="Times New Roman"/>
          <w:sz w:val="24"/>
          <w:szCs w:val="24"/>
          <w:lang w:val="sr-Cyrl-BA"/>
        </w:rPr>
        <w:t>br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52/12, 92/12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58/19), </w:t>
      </w:r>
    </w:p>
    <w:p w14:paraId="3B6837B1" w14:textId="7EC18E64" w:rsidR="00714805" w:rsidRPr="00E74403" w:rsidRDefault="00E74403" w:rsidP="0071480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(„</w:t>
      </w:r>
      <w:r w:rsidRPr="00E74403">
        <w:rPr>
          <w:rFonts w:ascii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glasnik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12/01), </w:t>
      </w:r>
    </w:p>
    <w:p w14:paraId="282D44F6" w14:textId="78854888" w:rsidR="00714805" w:rsidRPr="00E74403" w:rsidRDefault="00E74403" w:rsidP="0071480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obligacionim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odnosima</w:t>
      </w:r>
      <w:r w:rsidR="00714805"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 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>(„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list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SFRJ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br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29/78, </w:t>
      </w:r>
      <w:r w:rsidR="00DD1204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39/85, 45/89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57/89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„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glasnik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br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17/93, 3/96, 39/03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74/04),</w:t>
      </w:r>
    </w:p>
    <w:p w14:paraId="6BBB6C07" w14:textId="274D3075" w:rsidR="00714805" w:rsidRPr="00E74403" w:rsidRDefault="00E74403" w:rsidP="0071480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konkurenciji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(„</w:t>
      </w:r>
      <w:r w:rsidRPr="00E74403">
        <w:rPr>
          <w:rFonts w:ascii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glasnik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hAnsi="Times New Roman"/>
          <w:sz w:val="24"/>
          <w:szCs w:val="24"/>
          <w:lang w:val="sr-Cyrl-BA"/>
        </w:rPr>
        <w:t>br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48/05, 76/07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80/09).</w:t>
      </w:r>
    </w:p>
    <w:p w14:paraId="102C4082" w14:textId="77777777" w:rsidR="00714805" w:rsidRPr="00E74403" w:rsidRDefault="00714805" w:rsidP="00714805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CB3675D" w14:textId="201078D0" w:rsidR="00714805" w:rsidRPr="00E74403" w:rsidRDefault="00714805" w:rsidP="007148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2)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Izvori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prava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Evropske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unije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: </w:t>
      </w:r>
    </w:p>
    <w:p w14:paraId="59910DBC" w14:textId="04840501" w:rsidR="00714805" w:rsidRPr="00E74403" w:rsidRDefault="00714805" w:rsidP="00714805">
      <w:pPr>
        <w:pStyle w:val="ListParagraph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Regulativa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EU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) 2015/751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Evropskog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parlamenta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Savjeta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29.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aprila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2015.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međubankarskim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(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Tekst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značajan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EGP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).</w:t>
      </w:r>
    </w:p>
    <w:p w14:paraId="2CC8D2EB" w14:textId="77777777" w:rsidR="00714805" w:rsidRPr="00E74403" w:rsidRDefault="00714805" w:rsidP="0071480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F50513F" w14:textId="66077349" w:rsidR="00714805" w:rsidRPr="00E74403" w:rsidRDefault="00714805" w:rsidP="0071480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3)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Uporedno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pravo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zemalja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iz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okruženja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:</w:t>
      </w:r>
    </w:p>
    <w:p w14:paraId="3749A97D" w14:textId="3C1AC9B1" w:rsidR="00714805" w:rsidRPr="00E74403" w:rsidRDefault="00E74403" w:rsidP="00714805">
      <w:pPr>
        <w:pStyle w:val="ListParagraph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Srbija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–</w:t>
      </w:r>
      <w:r w:rsidR="00714805"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naknadama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posebnim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pravilima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poslovanja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(„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Službeni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glasnik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RS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44/18),</w:t>
      </w:r>
    </w:p>
    <w:p w14:paraId="1FF804D1" w14:textId="12954C3E" w:rsidR="00714805" w:rsidRPr="00E74403" w:rsidRDefault="00E74403" w:rsidP="00714805">
      <w:pPr>
        <w:pStyle w:val="ListParagraph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Hrvatska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–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provedi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Uredbi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Evropske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unije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iz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područja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platnog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prometa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(„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Narodne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novine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broj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50/2016), </w:t>
      </w:r>
    </w:p>
    <w:p w14:paraId="08DD88B1" w14:textId="26BD0846" w:rsidR="00714805" w:rsidRPr="00E74403" w:rsidRDefault="00E74403" w:rsidP="00714805">
      <w:pPr>
        <w:pStyle w:val="ListParagraph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Crna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−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Zakon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naknadama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posebnim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pravilima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poslovanja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vezi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platnim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karticama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35D19BB5" w14:textId="77777777" w:rsidR="00714805" w:rsidRPr="00E74403" w:rsidRDefault="00714805" w:rsidP="00714805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54F4B71" w14:textId="097D4AB7" w:rsidR="00714805" w:rsidRPr="00E74403" w:rsidRDefault="00E74403" w:rsidP="00714805">
      <w:pPr>
        <w:pStyle w:val="Default"/>
        <w:ind w:firstLine="720"/>
        <w:jc w:val="both"/>
        <w:rPr>
          <w:rFonts w:ascii="Times New Roman" w:eastAsia="Calibri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t>Imajući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vidu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prethodno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navedeno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očekuje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usvajanjem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ovog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stvorene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pretpostavke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uređenje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tržišta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povećanje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transparentnosti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smanjenje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konačne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cijene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veći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bezgotovinskog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smanjenje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sive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ekonomije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slično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>.</w:t>
      </w:r>
    </w:p>
    <w:p w14:paraId="49887C10" w14:textId="0F167762" w:rsidR="00714805" w:rsidRPr="00E74403" w:rsidRDefault="00E74403" w:rsidP="00714805">
      <w:pPr>
        <w:pStyle w:val="Default"/>
        <w:ind w:firstLine="720"/>
        <w:jc w:val="both"/>
        <w:rPr>
          <w:rFonts w:ascii="Times New Roman" w:eastAsia="Calibri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t>Pravila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utvrđena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trebalo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omoguće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trgovcima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jasno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znaju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kolike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troškove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prihvatanje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različitih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podataka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biraju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prihvatiti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sredstvo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svojim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prodajnim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mjestima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toga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razumno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pretpostaviti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svojom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politikom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opredijeliti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saradnju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pružaocima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ponude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povoljnije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uslove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prihvatanje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ab/>
        <w:t>Takođe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očekuje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rezultat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konkurencije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između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pružaoca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lastRenderedPageBreak/>
        <w:t>kartičnih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doći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pojeftinjenja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bržeg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razvoja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bezgotovinskih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svim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prednostima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društvo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cjelini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>.</w:t>
      </w:r>
    </w:p>
    <w:p w14:paraId="3723B2D0" w14:textId="53F27224" w:rsidR="00714805" w:rsidRPr="00E74403" w:rsidRDefault="00E74403" w:rsidP="00F72D5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skladu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navedenim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predlaže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razmatranje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usvajanje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međubankarskim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naknadama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1D4FFF7F" w14:textId="77777777" w:rsidR="0043648E" w:rsidRPr="00E74403" w:rsidRDefault="0043648E" w:rsidP="00714805">
      <w:pPr>
        <w:pStyle w:val="Default"/>
        <w:jc w:val="both"/>
        <w:rPr>
          <w:rFonts w:ascii="Times New Roman" w:hAnsi="Times New Roman" w:cs="Times New Roman"/>
          <w:b/>
          <w:color w:val="auto"/>
          <w:lang w:val="sr-Cyrl-BA"/>
        </w:rPr>
      </w:pPr>
    </w:p>
    <w:p w14:paraId="6F8FB82A" w14:textId="02C1A47B" w:rsidR="00714805" w:rsidRPr="00E74403" w:rsidRDefault="00E74403" w:rsidP="00714805">
      <w:pPr>
        <w:pStyle w:val="Default"/>
        <w:jc w:val="both"/>
        <w:rPr>
          <w:rFonts w:ascii="Times New Roman" w:hAnsi="Times New Roman" w:cs="Times New Roman"/>
          <w:b/>
          <w:color w:val="auto"/>
          <w:lang w:val="sr-Cyrl-BA"/>
        </w:rPr>
      </w:pPr>
      <w:r w:rsidRPr="00E74403">
        <w:rPr>
          <w:rFonts w:ascii="Times New Roman" w:hAnsi="Times New Roman" w:cs="Times New Roman"/>
          <w:b/>
          <w:color w:val="auto"/>
          <w:lang w:val="sr-Cyrl-BA"/>
        </w:rPr>
        <w:t xml:space="preserve">V OBRAZLOŽENJE PREDLOŽENIH RJEŠENJA </w:t>
      </w:r>
    </w:p>
    <w:p w14:paraId="779924F5" w14:textId="77777777" w:rsidR="00714805" w:rsidRPr="00E74403" w:rsidRDefault="00714805" w:rsidP="00714805">
      <w:pPr>
        <w:pStyle w:val="Default"/>
        <w:ind w:firstLine="720"/>
        <w:jc w:val="both"/>
        <w:rPr>
          <w:rFonts w:ascii="Times New Roman" w:hAnsi="Times New Roman" w:cs="Times New Roman"/>
          <w:b/>
          <w:color w:val="auto"/>
          <w:lang w:val="sr-Cyrl-BA"/>
        </w:rPr>
      </w:pPr>
    </w:p>
    <w:p w14:paraId="492BB507" w14:textId="6F936978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1.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definisan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predmet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Predviđeno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ovim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uređuju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naplaćuju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izvršavanju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Republici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Srpskoj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Republici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Srpskoj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smatraju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platioca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ovlašćena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organizacija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obavljanje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smislu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unutrašnjem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banke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sjedištem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Republici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Srpskoj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filijale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banaka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Federacije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Brčko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Distrikta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imaju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dozvolu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Agencije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bankarstvo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Republike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Srpske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subjekti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obavljaju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prometa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ovlašćene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organizacije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ovim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). </w:t>
      </w:r>
    </w:p>
    <w:p w14:paraId="2CCCA848" w14:textId="03DB6A11" w:rsidR="00714805" w:rsidRPr="00E74403" w:rsidRDefault="00714805" w:rsidP="007148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Članom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2.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propisano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odredbe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primjenjuju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izvršavaju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jedan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lice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obuhvaćeno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predmetom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ovlašćena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organizacija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obavljanje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smislu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uređuje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unutrašnji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drugi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pružalac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lice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dozvolu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nadležnog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organa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obavljanje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Federaciji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Brčko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Distriktu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Namjera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dođe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ugrožavanja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principa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jedinstvenog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ekonomskog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prostora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oblasti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prometa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obezbjeđenja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jednakih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uslova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banaka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entiteta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Dalje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predmet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posebna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pravila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vezi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izdavanjem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prihvatanjem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instrumenata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zasnovanih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Takođe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propisano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odredbe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primjenjuju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izvršavaju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posebnih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instrumenata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mogu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koristiti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samo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ograničeno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podrazumijevaju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korišćenje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samo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prostorijama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subjekta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ograničenoj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mreži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prodavaca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robe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subjekti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javnog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sektora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radi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ostvarivanja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određenih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socijalnih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fiskalnih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ciljeva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Primjeri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ovih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instrumenata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poslodavac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zaposlenima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isključivo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toplog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obroka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vlastitom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restoranu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njegovom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imaocu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omogućavaju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kupovinu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robe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samo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prostorijama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izdavaoca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podrazumijevajući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prikupljanje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korišćenje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bodova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kupovinu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goriva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proizvoda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benzinskim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stanicama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zatim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članske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imaocima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omogućavaju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robe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nudi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određeni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klub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subjekt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javni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prevoz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parkiranje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vaučeri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ishranu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vaučeri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određene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usluge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nekad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izdaju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posebnih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ostvarili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određeni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ciljevi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socijalne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fiskalne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politike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npr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elektronske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izdavao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Fond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solidarnosti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turistički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vaučeri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izdavalo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Ministarstvo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trgovine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turizma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itd</w:t>
      </w:r>
      <w:r w:rsidRPr="00E74403">
        <w:rPr>
          <w:rFonts w:ascii="Times New Roman" w:hAnsi="Times New Roman"/>
          <w:sz w:val="24"/>
          <w:szCs w:val="24"/>
          <w:lang w:val="sr-Cyrl-BA"/>
        </w:rPr>
        <w:t>.).</w:t>
      </w:r>
    </w:p>
    <w:p w14:paraId="4260AAB9" w14:textId="6AEFA965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eastAsia="Calibri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3.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definisani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pojmovi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korišćeni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ovom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Najznačajniji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među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njima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pojmovi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neto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trgovačka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Pojedini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pojmovi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imaju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isto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značenje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određeno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unutrašnjem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prometu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Neto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definisana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ukupan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iznos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novčanih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sredstava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popusta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olakšica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)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vrsta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podsticaja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kartičnih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bilo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posrednika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vezi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povezanim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aktivnostima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umanjen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iznos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novčanih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sredstava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popusta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olakšica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)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vrsta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podsticaja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kartičnim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sistemima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vezi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aktivnostima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Pojam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neto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potrebno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definisati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kako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banke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izdavaoci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onemogućile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kroz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različita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lastRenderedPageBreak/>
        <w:t>dodatna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primanja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vezi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kartičnih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bilo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posrednika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zaobilaze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propisana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ograničenja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visine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međubankarskih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Svi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dodatni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prihodi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izdavaoca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uključujući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marketinške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podsticaje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popuste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olakšice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treba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ulaze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sastav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Trgovačka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definisana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prihvatiocu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vezi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vrsta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instrumenta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koristi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iniciranje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Zatim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instrument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zasnovan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platnoj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svaki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instrument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uključujući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računar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mobilni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telefon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bilo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drugo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tehničko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sredstvo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sadrži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aplikaciju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omogućava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platiocu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inicira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pojmom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kreditna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podrazumijeva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koristi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iniciranje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kreditnom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dok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kreditnom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platilac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zadužuje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iznos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cijelosti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djelimično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unaprijed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utvrđeni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kalendarski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dan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uslovima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utvrđenim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ugovorom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izdavanju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kreditne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bez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obzira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obračunava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kamata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Pojmom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debitna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obuhvaćena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unaprijed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uplaćenim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sredstvima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pripejd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)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kojoj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pohranjen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elektronski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novac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značenje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definisano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unutrašnjem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prometu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Dalje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subjektima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ograničena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upotrebu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samo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svrhe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izvršena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njenom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upotrebom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vrše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teret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ovih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lica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jeste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inicira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izvršava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upotrebe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putem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telekomunikacionog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digitalnog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informaciono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>-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tehnološkog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uređaja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softvera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poslovnim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pravilima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kartičnih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korišćenjem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infrastrukture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smatra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kredit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engl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Credit)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transferom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debit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engl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Debit)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transferom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smislu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uređuju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Tako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smatraju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između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ostalih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prodajnom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mjestu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trgovca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uz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fizičko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prisustvo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mobilnog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telefona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kome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elektronskom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obliku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sadržana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izvršene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„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daljinu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”,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što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slučaj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robe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putem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interneta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>.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rihvatilac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ovlašćena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organizacija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obavljanje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smislu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ugovorom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zaključenim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primaocem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obavezao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izvršavanja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radi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prenosa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novčanih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sredstava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primaocu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pružalac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ovlašćena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organizacija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obavljanje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smislu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ugovorom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zaključenim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platiocem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obavezao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tom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licu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pruža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usluge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izdavanja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instrumenta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iniciranje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izvršavanja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eastAsia="Calibri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eastAsia="Calibri" w:hAnsi="Times New Roman" w:cs="Times New Roman"/>
          <w:color w:val="auto"/>
          <w:lang w:val="sr-Cyrl-BA"/>
        </w:rPr>
        <w:t>P</w:t>
      </w:r>
      <w:r w:rsidRPr="00E74403">
        <w:rPr>
          <w:rFonts w:ascii="Times New Roman" w:hAnsi="Times New Roman" w:cs="Times New Roman"/>
          <w:color w:val="auto"/>
          <w:lang w:val="sr-Cyrl-BA"/>
        </w:rPr>
        <w:t>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povjerilac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fizičko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lice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predmet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označava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jedinstven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skup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praksi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standarda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/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operativnih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smjernica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izvršavanje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obuhvata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posebno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tijelo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organizaciju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subjekta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donose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odluke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poslovanju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odgovorni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Dalje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četvorostrani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postoje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četiri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strane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: </w:t>
      </w:r>
      <w:r w:rsidRPr="00E74403">
        <w:rPr>
          <w:rFonts w:ascii="Times New Roman" w:hAnsi="Times New Roman" w:cs="Times New Roman"/>
          <w:color w:val="auto"/>
          <w:lang w:val="sr-Cyrl-BA"/>
        </w:rPr>
        <w:t>korisnik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trgovac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npr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Visa, Mastercard)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računa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račun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uz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posredovanje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strani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strani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Trostrani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jeste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npr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Diners, American Express)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neposredno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izvršavaju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Trostrani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drugom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pružaocu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â </w:t>
      </w:r>
      <w:r w:rsidRPr="00E74403">
        <w:rPr>
          <w:rFonts w:ascii="Times New Roman" w:hAnsi="Times New Roman" w:cs="Times New Roman"/>
          <w:color w:val="auto"/>
          <w:lang w:val="sr-Cyrl-BA"/>
        </w:rPr>
        <w:t>ovlašćenje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zasnovane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/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partnerom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sporazuma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kobrendiranju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zastupnika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− </w:t>
      </w:r>
      <w:r w:rsidRPr="00E74403">
        <w:rPr>
          <w:rFonts w:ascii="Times New Roman" w:hAnsi="Times New Roman" w:cs="Times New Roman"/>
          <w:color w:val="auto"/>
          <w:lang w:val="sr-Cyrl-BA"/>
        </w:rPr>
        <w:t>smatra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četvorostranim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uticaj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četvorostranog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jer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značajno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utiče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formiranje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visinu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dok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trostranog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prisutna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11824983" w14:textId="1C700472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4. </w:t>
      </w:r>
      <w:r w:rsidRPr="00E74403">
        <w:rPr>
          <w:rFonts w:ascii="Times New Roman" w:hAnsi="Times New Roman" w:cs="Times New Roman"/>
          <w:color w:val="auto"/>
          <w:lang w:val="sr-Cyrl-BA"/>
        </w:rPr>
        <w:t>propisuje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pitanja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primjenjuju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4E4AD2F2" w14:textId="0131FEC8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5. </w:t>
      </w:r>
      <w:r w:rsidRPr="00E74403">
        <w:rPr>
          <w:rFonts w:ascii="Times New Roman" w:hAnsi="Times New Roman" w:cs="Times New Roman"/>
          <w:color w:val="auto"/>
          <w:lang w:val="sr-Cyrl-BA"/>
        </w:rPr>
        <w:t>definisana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ograničenje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visine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gornja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granica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debitnom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0,2% </w:t>
      </w:r>
      <w:r w:rsidRPr="00E74403">
        <w:rPr>
          <w:rFonts w:ascii="Times New Roman" w:hAnsi="Times New Roman" w:cs="Times New Roman"/>
          <w:color w:val="auto"/>
          <w:lang w:val="sr-Cyrl-BA"/>
        </w:rPr>
        <w:t>vrijednosti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izvršene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dok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kreditnom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0,3% </w:t>
      </w:r>
      <w:r w:rsidRPr="00E74403">
        <w:rPr>
          <w:rFonts w:ascii="Times New Roman" w:hAnsi="Times New Roman" w:cs="Times New Roman"/>
          <w:color w:val="auto"/>
          <w:lang w:val="sr-Cyrl-BA"/>
        </w:rPr>
        <w:t>vrijednosti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izvršene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što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Regulativom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EU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) 2015/751. </w:t>
      </w:r>
      <w:r w:rsidRPr="00E74403">
        <w:rPr>
          <w:rFonts w:ascii="Times New Roman" w:hAnsi="Times New Roman" w:cs="Times New Roman"/>
          <w:color w:val="auto"/>
          <w:lang w:val="sr-Cyrl-BA"/>
        </w:rPr>
        <w:t>Kako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došlo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izbjegavanja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navedenog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ograničenja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utvrđeno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svaki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ugovoreni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iznos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sredstava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uključujući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predmet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/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efekat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drugog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posrednika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povezanih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aktivnosti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smatra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dijelom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Radi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praćenja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ograničenja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dužni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Agenciji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bankarstvo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Republike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Srpske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dostavljaju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podatke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donosi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akt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propisuje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sadržinu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rokove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dostavljanja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podataka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Takođe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definisani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izuzeci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278B7C23" w14:textId="19A74470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6. </w:t>
      </w:r>
      <w:r w:rsidRPr="00E74403">
        <w:rPr>
          <w:rFonts w:ascii="Times New Roman" w:hAnsi="Times New Roman" w:cs="Times New Roman"/>
          <w:color w:val="auto"/>
          <w:lang w:val="sr-Cyrl-BA"/>
        </w:rPr>
        <w:t>definisana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izbor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aplikacije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uključi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aplikacija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ovo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slučaj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bila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koristiti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mreži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npr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imamo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Cardpay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PayCard, </w:t>
      </w:r>
      <w:r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pružala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mogućnost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korisnik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inicira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korišćenjem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). </w:t>
      </w:r>
      <w:r w:rsidRPr="00E74403">
        <w:rPr>
          <w:rFonts w:ascii="Times New Roman" w:hAnsi="Times New Roman" w:cs="Times New Roman"/>
          <w:color w:val="auto"/>
          <w:lang w:val="sr-Cyrl-BA"/>
        </w:rPr>
        <w:t>Takođe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prilikom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zaključivanja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usluzi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takvu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Dalje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zabranjuje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uvođenje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sprečava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ograničava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jednu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uključi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strane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primjerenom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zaključenja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usluzi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dostavi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jasne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objektivne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povezana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njihovim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karakteristikama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što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ostalog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trebalo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omogući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bolju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informisanost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tome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pogodnije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jedan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drugi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Trgovac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upotrebljavati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automatski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mehanizam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vrši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izbor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aplikacije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npr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onog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korišćenje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odgovara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zbog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nižih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), </w:t>
      </w:r>
      <w:r w:rsidRPr="00E74403">
        <w:rPr>
          <w:rFonts w:ascii="Times New Roman" w:hAnsi="Times New Roman" w:cs="Times New Roman"/>
          <w:color w:val="auto"/>
          <w:lang w:val="sr-Cyrl-BA"/>
        </w:rPr>
        <w:t>ali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ograniči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izabere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aplikaciju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odabrani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automatskim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mehanizmom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uslovom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taj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izabrani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aplikaciju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D26059C" w14:textId="41F03465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7. </w:t>
      </w:r>
      <w:r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razdvajanje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čime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uvesti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transparentnost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naplaćuje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omogućiti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jačanje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pregovaračke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pozicije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svega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malog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Naime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ukida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pretpostavljeno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jedinstvenog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obračuna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gdje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jedinstvenu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taj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nižom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subvencionišu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upotrebu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„</w:t>
      </w:r>
      <w:r w:rsidRPr="00E74403">
        <w:rPr>
          <w:rFonts w:ascii="Times New Roman" w:hAnsi="Times New Roman" w:cs="Times New Roman"/>
          <w:color w:val="auto"/>
          <w:lang w:val="sr-Cyrl-BA"/>
        </w:rPr>
        <w:t>skupljih</w:t>
      </w:r>
      <w:r w:rsidR="00F72D5A" w:rsidRPr="00E74403">
        <w:rPr>
          <w:rFonts w:ascii="Times New Roman" w:hAnsi="Times New Roman" w:cs="Times New Roman"/>
          <w:color w:val="auto"/>
          <w:lang w:val="sr-Cyrl-BA"/>
        </w:rPr>
        <w:t>“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naprijed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navedenim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propisana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obaveza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>pojedinačno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vrste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čiju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upotrebu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/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osim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zahtijevao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obračunava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jedinstvenu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vrsta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taj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ugovoru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usluzi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zaključuje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pojedinačno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prikaže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iznosu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trgovačka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)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brendove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vrste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osim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zahtijevao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drugačije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postupanje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obavezu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svaku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zbirnu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poput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prikaže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raščlanjeno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26B202AC" w14:textId="06F4ACF3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8. </w:t>
      </w:r>
      <w:r w:rsidRPr="00E74403">
        <w:rPr>
          <w:rFonts w:ascii="Times New Roman" w:hAnsi="Times New Roman" w:cs="Times New Roman"/>
          <w:color w:val="auto"/>
          <w:lang w:val="sr-Cyrl-BA"/>
        </w:rPr>
        <w:t>definisana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praksu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nameću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bez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obzira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proizvoda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bez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obzira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). 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opravdano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jer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onemogućava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razliku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izdale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sigurnost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korisnicima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njihova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prihvaćena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ukoliko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takvu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Trgovci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obavezati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ograničena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okviru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vrste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debitna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kreditna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), </w:t>
      </w:r>
      <w:r w:rsidRPr="00E74403">
        <w:rPr>
          <w:rFonts w:ascii="Times New Roman" w:hAnsi="Times New Roman" w:cs="Times New Roman"/>
          <w:color w:val="auto"/>
          <w:lang w:val="sr-Cyrl-BA"/>
        </w:rPr>
        <w:t>čime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mogućnost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pouzdano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gdje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koristiti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Međutim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proizvoda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često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cilj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obavezu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visokim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niskim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obavezuje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ukida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proizvoda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mogućnost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izbora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niskim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što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znači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prihvataju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debitne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neće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obavezu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kreditne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Dalje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ukoliko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odluči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zasnovane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3675BC" w:rsidRPr="00E74403">
        <w:rPr>
          <w:rFonts w:ascii="Times New Roman" w:hAnsi="Times New Roman" w:cs="Times New Roman"/>
          <w:color w:val="auto"/>
          <w:lang w:val="sr-Cyrl-BA"/>
        </w:rPr>
        <w:t>,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tome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jasno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nedvosmisleno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obavijesti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kupce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Istovremeno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uvodi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dužan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obezbijedi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zasnovan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bude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elektronski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vizuelno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prepoznatljiv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platiocu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nedvosmisleno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identifikuju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brend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vrstu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izabrao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161D4186" w14:textId="100BB328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9. </w:t>
      </w:r>
      <w:r w:rsidRPr="00E74403">
        <w:rPr>
          <w:rFonts w:ascii="Times New Roman" w:hAnsi="Times New Roman" w:cs="Times New Roman"/>
          <w:color w:val="auto"/>
          <w:lang w:val="sr-Cyrl-BA"/>
        </w:rPr>
        <w:t>propisan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nedozvoljeni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uticaj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upotrebe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Naime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utvrđeno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zabraniti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usmjeri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upotrebu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bilo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(</w:t>
      </w:r>
      <w:r w:rsidRPr="00E74403">
        <w:rPr>
          <w:rFonts w:ascii="Times New Roman" w:hAnsi="Times New Roman" w:cs="Times New Roman"/>
          <w:color w:val="auto"/>
          <w:lang w:val="sr-Cyrl-BA"/>
        </w:rPr>
        <w:t>npr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zbog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nižih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trgovačkih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),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prednost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obavijesti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ovaj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način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omogućava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kupce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usmjere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korišćenje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instrumenata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njega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povoljniji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odnosno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mogućnost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kupcima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predlože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popuste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pogodnosti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obavijeste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slično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druge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strane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primaoci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mogu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naplate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posebnu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korišćenje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instrumenta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/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Dalje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zaključivanje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ugovora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izvršavanju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usloviti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pružanjem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povratom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gotovine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povratom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gotovine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zaključenim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izvršavanju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obligacioni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>dužna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informiše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visini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naplaćuje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povratom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gotovine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B677EA1" w14:textId="6800BEAE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10. </w:t>
      </w:r>
      <w:r w:rsidRPr="00E74403">
        <w:rPr>
          <w:rFonts w:ascii="Times New Roman" w:hAnsi="Times New Roman" w:cs="Times New Roman"/>
          <w:color w:val="auto"/>
          <w:lang w:val="sr-Cyrl-BA"/>
        </w:rPr>
        <w:t>propisane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pojedinačnim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što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unapređuje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transparentnost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naplaćuje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Naime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banka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dužna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nakon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izvršenja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pojedinačne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dostavi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ostalog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iznosima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trgovačke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kartičnog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sistema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transakciju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Međutim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ugovorom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između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utvrditi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informacije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prikazivati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zbirno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prikazivati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periodično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što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moraju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učiniti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dostupnim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najmanje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jednom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mjesečno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4C71D53B" w14:textId="547921CE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strike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11. </w:t>
      </w:r>
      <w:r w:rsidRPr="00E74403">
        <w:rPr>
          <w:rFonts w:ascii="Times New Roman" w:hAnsi="Times New Roman" w:cs="Times New Roman"/>
          <w:color w:val="auto"/>
          <w:lang w:val="sr-Cyrl-BA"/>
        </w:rPr>
        <w:t>propisana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fizičkog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lica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definisano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ako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izdavalac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prihvatilac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pridržavaju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ili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propisa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donesenih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osnovu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korisnik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predmet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unutrašnji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promet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oblast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finansijskih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postupak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ostvarivanja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primjenjuju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uređena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oblast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finansijskih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ostvarivanje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interesa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korisnika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finansijskih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460E2441" w14:textId="5FF478B8" w:rsidR="00714805" w:rsidRPr="00E74403" w:rsidRDefault="00E74403" w:rsidP="0071480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>Članom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12. </w:t>
      </w:r>
      <w:r w:rsidRPr="00E74403">
        <w:rPr>
          <w:rFonts w:ascii="Times New Roman" w:hAnsi="Times New Roman"/>
          <w:sz w:val="24"/>
          <w:szCs w:val="24"/>
          <w:lang w:val="sr-Cyrl-BA"/>
        </w:rPr>
        <w:t>propisano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bankarstvo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vrši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nadzor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primjenom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odredaba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ovog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banaka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način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postupku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propisani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zakonom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uređuje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poslovanje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banaka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uređuje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unutrašnji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platni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promet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uređuju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transakcije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drugim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zakonima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kao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propisima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donesenim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Cs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vrši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nadzor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primjenom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odredaba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ostalih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javnog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poštanskog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operatera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način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postupku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propisani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uređuje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unutrašnji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promet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posebnim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Ističemo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nebankarske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finansijske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institucije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već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postoje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njihovo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uređeno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posebnim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Ministarstvo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finansija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analizira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pretpostavke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uvođenje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radi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povećanja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konkurencije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tržištu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uspostavljanje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nadzora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poslovanjem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tržištu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vršila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bankarstvo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skladu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direktivama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Evropske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unije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propisima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zemalja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okruženju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shodnom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primjenom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uređuje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unutrašnji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promet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uređuju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uređuje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banaka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posebnih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vrši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kontrolu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</w:t>
      </w:r>
      <w:r w:rsidR="00E15502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primjenom</w:t>
      </w:r>
      <w:r w:rsidR="00E15502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odredaba</w:t>
      </w:r>
      <w:r w:rsidR="00E15502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ovog</w:t>
      </w:r>
      <w:r w:rsidR="00E15502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E15502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E15502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procesora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drugih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pružalaca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tehničkih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podržava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izvršavanje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predmet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postupku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kontrole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predloženo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može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izreći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sljedeće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mjere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E74403">
        <w:rPr>
          <w:rFonts w:ascii="Times New Roman" w:hAnsi="Times New Roman"/>
          <w:sz w:val="24"/>
          <w:szCs w:val="24"/>
          <w:lang w:val="sr-Cyrl-BA"/>
        </w:rPr>
        <w:t>naložiti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usklađivanje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ovim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privremeno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zabraniti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pružanje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više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usluga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trajanju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najviše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godinu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podnijeti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zahtjev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nadležnom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organu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pokretanje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prinudne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likvidacije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Imajući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vidu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činjenicu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subjekti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učestvuju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izvršenju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određene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transakcije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platne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kartice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nisu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nužno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registrovani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nadzor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primjenom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odredaba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subjekte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odnosno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lica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nemaju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sjedište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ili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jedinicu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upisanu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registar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nadležnog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organa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Republici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Navedeni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subjekti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dužni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obavijeste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imenu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sjedištu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načinu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njima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obavljati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komunikacija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sarađuju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joj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njen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zahtjev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dostavljaju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tražene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podatke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dokumentaciju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vezi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primjenom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odredaba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E74403">
        <w:rPr>
          <w:rFonts w:ascii="Times New Roman" w:hAnsi="Times New Roman"/>
          <w:sz w:val="24"/>
          <w:szCs w:val="24"/>
          <w:lang w:val="sr-Cyrl-BA"/>
        </w:rPr>
        <w:t>Znači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će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Agencija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bankarstvo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prvi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put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/>
        </w:rPr>
        <w:t>vršiti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nadzor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nad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međunarodnim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kartičnim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sistemima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dijelu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poslovanja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koji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odnosi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Republiku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>Srpsku</w:t>
      </w:r>
      <w:r w:rsidR="00714805"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2791BA11" w14:textId="0E282B54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lastRenderedPageBreak/>
        <w:t>Članom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13. </w:t>
      </w:r>
      <w:r w:rsidRPr="00E74403">
        <w:rPr>
          <w:rFonts w:ascii="Times New Roman" w:hAnsi="Times New Roman" w:cs="Times New Roman"/>
          <w:color w:val="auto"/>
          <w:lang w:val="sr-Cyrl-BA"/>
        </w:rPr>
        <w:t>definisano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odredaba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inspekcijski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odnose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vrše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nadležni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određeni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zaštita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potrošača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organi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nadležni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inspekcijski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nadzor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kojim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uređuje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rad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inspekcija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Republici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Srpskoj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1C9BD999" w14:textId="0C7041BF" w:rsidR="00714805" w:rsidRPr="00E74403" w:rsidRDefault="00E74403" w:rsidP="007148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Čl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. 14.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15. </w:t>
      </w:r>
      <w:r w:rsidRPr="00E74403">
        <w:rPr>
          <w:rFonts w:ascii="Times New Roman" w:hAnsi="Times New Roman" w:cs="Times New Roman"/>
          <w:color w:val="auto"/>
          <w:lang w:val="sr-Cyrl-BA"/>
        </w:rPr>
        <w:t>propisani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prekršaji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utvrđeni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rasponi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novčanih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kazni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pružaoce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primaoce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njihova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odgovorna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lica</w:t>
      </w:r>
      <w:r w:rsidR="00714805"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21F777A2" w14:textId="3D129341" w:rsidR="00714805" w:rsidRPr="00E74403" w:rsidRDefault="00714805" w:rsidP="00714805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ab/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16.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privremeno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odstupanje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visine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tako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što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predviđeno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visina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fazno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smanjivati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čemu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uzeti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obzir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efekti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navedeno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snižavanje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moglo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prihode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banaka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izdavaoci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prihvatioci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pružalac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može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mjeseca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stupanja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nuditi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naplatiti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iznosu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veća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0,5%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debitne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0,6%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kreditne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2DB54C68" w14:textId="211C195F" w:rsidR="00714805" w:rsidRPr="00E74403" w:rsidRDefault="00714805" w:rsidP="00714805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ab/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17.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zasnovani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platnoj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kartici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izdati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isteka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usklađivanje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važiti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isteka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važenja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koji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označen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instrumentima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bi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stvarali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dodatni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troškovi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vezi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primjenom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8.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stav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6.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F41015B" w14:textId="21BE3C84" w:rsidR="00714805" w:rsidRPr="00E74403" w:rsidRDefault="00714805" w:rsidP="00714805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ab/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18.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Agencija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donijeti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podzakonski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sadržini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rokovima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načinu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dostavljanja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podataka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međubankarskim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najkasnije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mjesec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stupanja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1BDDD627" w14:textId="591F6264" w:rsidR="00714805" w:rsidRPr="00E74403" w:rsidRDefault="00714805" w:rsidP="00714805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ab/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19.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pružaoci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usluga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dužni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svoje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poslovanje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unutrašnje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akte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usklade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odredbama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roku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mjeseca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stupanja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ovog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Pr="00E74403">
        <w:rPr>
          <w:rFonts w:ascii="Times New Roman" w:hAnsi="Times New Roman" w:cs="Times New Roman"/>
          <w:color w:val="auto"/>
          <w:lang w:val="sr-Cyrl-BA"/>
        </w:rPr>
        <w:t>.</w:t>
      </w:r>
    </w:p>
    <w:p w14:paraId="07BCC1EE" w14:textId="0074A170" w:rsidR="00714805" w:rsidRPr="00E74403" w:rsidRDefault="00714805" w:rsidP="00F65D23">
      <w:pPr>
        <w:pStyle w:val="Default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ab/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Članom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20.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propisano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je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Zakon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stupa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snagu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tri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mjeseca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od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dana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objavljivanja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„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Službenom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glasniku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Republike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4403" w:rsidRPr="00E74403">
        <w:rPr>
          <w:rFonts w:ascii="Times New Roman" w:hAnsi="Times New Roman" w:cs="Times New Roman"/>
          <w:color w:val="auto"/>
          <w:lang w:val="sr-Cyrl-BA"/>
        </w:rPr>
        <w:t>Srpske</w:t>
      </w:r>
      <w:r w:rsidRPr="00E74403">
        <w:rPr>
          <w:rFonts w:ascii="Times New Roman" w:hAnsi="Times New Roman" w:cs="Times New Roman"/>
          <w:color w:val="auto"/>
          <w:lang w:val="sr-Cyrl-BA"/>
        </w:rPr>
        <w:t xml:space="preserve">“. </w:t>
      </w:r>
    </w:p>
    <w:p w14:paraId="6F6882F4" w14:textId="77777777" w:rsidR="00714805" w:rsidRPr="00E74403" w:rsidRDefault="00714805" w:rsidP="007148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1774AD06" w14:textId="71A64FFE" w:rsidR="00714805" w:rsidRPr="00E74403" w:rsidRDefault="00714805" w:rsidP="00714805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 w:eastAsia="sr-Latn-CS"/>
        </w:rPr>
      </w:pP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VI</w:t>
      </w: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ab/>
      </w:r>
      <w:r w:rsidR="00E74403"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RAZLIKE</w:t>
      </w: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PRIJEDLOGA</w:t>
      </w: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U</w:t>
      </w: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ODNOSU</w:t>
      </w: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NA</w:t>
      </w: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NACRT</w:t>
      </w:r>
      <w:r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b/>
          <w:bCs/>
          <w:sz w:val="24"/>
          <w:szCs w:val="24"/>
          <w:lang w:val="sr-Cyrl-BA" w:eastAsia="sr-Latn-CS"/>
        </w:rPr>
        <w:t>ZAKONA</w:t>
      </w:r>
    </w:p>
    <w:p w14:paraId="721E85AF" w14:textId="77777777" w:rsidR="00714805" w:rsidRPr="00E74403" w:rsidRDefault="00714805" w:rsidP="0071480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BA" w:eastAsia="sr-Latn-CS"/>
        </w:rPr>
      </w:pPr>
    </w:p>
    <w:p w14:paraId="17FB87DB" w14:textId="288790DA" w:rsidR="00714805" w:rsidRPr="00E74403" w:rsidRDefault="00E74403" w:rsidP="007148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sr-Latn-CS"/>
        </w:rPr>
      </w:pP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Narodna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skupština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razmatrala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usvojila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Nacrt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međubankarskim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naknadama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kod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transakcija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platnih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kartica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Devetnaestoj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redovnoj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sjednici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Narodne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skupštine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održanoj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1.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decembra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2021.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godine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donijela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Zaključak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broj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: 02/1-021-971/21,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kojim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zadužila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Odbor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finansije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budžet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organizuje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sprovede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stručnu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raspravu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uz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Prijedlog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dostavi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Narodnoj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skupštini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izvještaj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rezultatima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stručne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rasprave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mišljenjima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prijedlozima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iznesenim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raspravi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>.</w:t>
      </w:r>
    </w:p>
    <w:p w14:paraId="2797AB03" w14:textId="5D9608D4" w:rsidR="00714805" w:rsidRPr="00E74403" w:rsidRDefault="00E74403" w:rsidP="00004C3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sr-Latn-CS"/>
        </w:rPr>
      </w:pP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stručnoj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raspravi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koja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održana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21.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decembra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2021.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godine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osim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predstavnika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Ministarstva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finansija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učestvovali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članovi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Odbora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finansije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budžet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predstavnici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Republičkog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sekretarijata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zakonodavstvo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Agencije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bankarstvo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Republike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Pošte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Privredne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komore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Republike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B5779C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Udruženja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potrošača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„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Reakcija</w:t>
      </w:r>
      <w:r w:rsidR="00B5779C" w:rsidRPr="00E74403">
        <w:rPr>
          <w:rFonts w:ascii="Times New Roman" w:hAnsi="Times New Roman"/>
          <w:sz w:val="24"/>
          <w:szCs w:val="24"/>
          <w:lang w:val="sr-Cyrl-BA" w:eastAsia="sr-Latn-CS"/>
        </w:rPr>
        <w:t>“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predstavnici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pojedinih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banaka</w:t>
      </w:r>
      <w:r w:rsidR="00004C37" w:rsidRPr="00E74403">
        <w:rPr>
          <w:rFonts w:ascii="Times New Roman" w:hAnsi="Times New Roman"/>
          <w:sz w:val="24"/>
          <w:szCs w:val="24"/>
          <w:lang w:val="sr-Cyrl-BA" w:eastAsia="sr-Latn-CS"/>
        </w:rPr>
        <w:t>.</w:t>
      </w:r>
    </w:p>
    <w:p w14:paraId="07A58908" w14:textId="7B01117D" w:rsidR="002054AD" w:rsidRPr="00E74403" w:rsidRDefault="00E74403" w:rsidP="00004C3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sr-Latn-CS"/>
        </w:rPr>
      </w:pPr>
      <w:r w:rsidRPr="00E74403">
        <w:rPr>
          <w:rFonts w:ascii="Times New Roman" w:hAnsi="Times New Roman"/>
          <w:sz w:val="24"/>
          <w:szCs w:val="24"/>
          <w:lang w:val="sr-Cyrl-BA" w:eastAsia="sr-Latn-CS"/>
        </w:rPr>
        <w:t>Takođe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predstavnici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Ministarstva</w:t>
      </w:r>
      <w:r w:rsidR="00B5779C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finansija</w:t>
      </w:r>
      <w:r w:rsidR="00B5779C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su</w:t>
      </w:r>
      <w:r w:rsidR="00B5779C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25.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januara</w:t>
      </w:r>
      <w:r w:rsidR="00B5779C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2022.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godine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održali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sastanak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Privrednoj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komori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Republike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Srpske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predstavnicima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trgovaca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hotelijera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koji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su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istakli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značaj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donošenja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ovog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ograničavanja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visine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međubankarske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naknade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jer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isti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imaju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visoke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troškove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naknade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prihvatanje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platnih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kartica</w:t>
      </w:r>
      <w:r w:rsidR="002054AD" w:rsidRPr="00E74403">
        <w:rPr>
          <w:rFonts w:ascii="Times New Roman" w:hAnsi="Times New Roman"/>
          <w:sz w:val="24"/>
          <w:szCs w:val="24"/>
          <w:lang w:val="sr-Cyrl-BA" w:eastAsia="sr-Latn-CS"/>
        </w:rPr>
        <w:t>.</w:t>
      </w:r>
    </w:p>
    <w:p w14:paraId="00884C63" w14:textId="35C57852" w:rsidR="00714805" w:rsidRPr="00E74403" w:rsidRDefault="00E74403" w:rsidP="007148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sr-Latn-CS"/>
        </w:rPr>
      </w:pP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Obrađivač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dodatno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razmotrio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pojedina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rješenja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utvrđena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Nacrtom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analizirajući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primjedbe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sugestije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dostavilo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Udruženje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banaka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Bosne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Hercegovine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Mastercard Europe S.A.,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te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uzimajući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obzir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diskusiju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vođenu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stručnoj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raspravi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čega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izrađen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Prijedlog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najvažnijim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izmjenama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odnosu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Nacrt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zakona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. </w:t>
      </w:r>
    </w:p>
    <w:p w14:paraId="07E73195" w14:textId="77777777" w:rsidR="00714805" w:rsidRPr="00E74403" w:rsidRDefault="00714805" w:rsidP="007148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 w:eastAsia="sr-Latn-CS"/>
        </w:rPr>
      </w:pPr>
    </w:p>
    <w:p w14:paraId="4B65DCC6" w14:textId="2DCFEC3E" w:rsidR="00714805" w:rsidRPr="00E74403" w:rsidRDefault="00E74403" w:rsidP="0071480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BA" w:eastAsia="sr-Latn-CS"/>
        </w:rPr>
      </w:pP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lastRenderedPageBreak/>
        <w:t>U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nastavku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su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navedene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najvažnije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izmjene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Prijedloga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u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odnosu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Nacrt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zakona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,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sa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>obrazloženjem</w:t>
      </w:r>
      <w:r w:rsidR="00714805"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: </w:t>
      </w:r>
    </w:p>
    <w:p w14:paraId="338B682A" w14:textId="3683B386" w:rsidR="00B5779C" w:rsidRPr="00E74403" w:rsidRDefault="00B5779C" w:rsidP="007148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 w:eastAsia="sr-Latn-CS"/>
        </w:rPr>
      </w:pPr>
      <w:r w:rsidRPr="00E74403">
        <w:rPr>
          <w:rFonts w:ascii="Times New Roman" w:hAnsi="Times New Roman"/>
          <w:sz w:val="24"/>
          <w:szCs w:val="24"/>
          <w:lang w:val="sr-Cyrl-BA" w:eastAsia="sr-Latn-CS"/>
        </w:rPr>
        <w:tab/>
        <w:t xml:space="preserve">–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članu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2.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stavu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1.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izvršena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korekcija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tehničke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prirode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radi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preciziranja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norme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;</w:t>
      </w:r>
    </w:p>
    <w:p w14:paraId="5ED00F03" w14:textId="671C5FD4" w:rsidR="00B5779C" w:rsidRPr="00E74403" w:rsidRDefault="00B5779C" w:rsidP="00B5779C">
      <w:pPr>
        <w:spacing w:after="0" w:line="240" w:lineRule="auto"/>
        <w:jc w:val="both"/>
        <w:rPr>
          <w:rStyle w:val="CommentReference"/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ab/>
      </w:r>
      <w:r w:rsidR="00E72760" w:rsidRPr="00E74403">
        <w:rPr>
          <w:rFonts w:ascii="Times New Roman" w:hAnsi="Times New Roman"/>
          <w:sz w:val="24"/>
          <w:szCs w:val="24"/>
          <w:lang w:val="sr-Cyrl-BA" w:eastAsia="sr-Latn-CS"/>
        </w:rPr>
        <w:t>–</w:t>
      </w:r>
      <w:r w:rsidRPr="00E74403">
        <w:rPr>
          <w:rFonts w:ascii="Times New Roman" w:hAnsi="Times New Roman"/>
          <w:b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članu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3.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izvršeno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brisanje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pojma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elektronski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novac</w:t>
      </w:r>
      <w:r w:rsidR="00E72760" w:rsidRPr="00E74403">
        <w:rPr>
          <w:rFonts w:ascii="Times New Roman" w:hAnsi="Times New Roman"/>
          <w:sz w:val="24"/>
          <w:szCs w:val="24"/>
          <w:lang w:val="sr-Cyrl-BA" w:eastAsia="sr-Latn-CS"/>
        </w:rPr>
        <w:t>,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jer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stavu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2.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ovog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člana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propisano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da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pojedini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pojmovi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koji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definisani</w:t>
      </w:r>
      <w:r w:rsidR="00E15502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E15502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zakonima</w:t>
      </w:r>
      <w:r w:rsidR="00E15502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kojima</w:t>
      </w:r>
      <w:r w:rsidR="00E15502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se</w:t>
      </w:r>
      <w:r w:rsidR="00E15502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uređuju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platne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transakcije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unutrašnji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platni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promet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imaju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isto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značenje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ovom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zakonu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ako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nije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drugačije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određeno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ovim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zakonom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Pojam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elektronskog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novca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definisan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5E33D9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Zakonu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unutrašnjem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platnom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prometu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>;</w:t>
      </w:r>
    </w:p>
    <w:p w14:paraId="63BC8EE1" w14:textId="552DA3C5" w:rsidR="00714805" w:rsidRPr="00E74403" w:rsidRDefault="00B5779C" w:rsidP="00B577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 w:eastAsia="sr-Latn-CS"/>
        </w:rPr>
      </w:pPr>
      <w:r w:rsidRPr="00E74403">
        <w:rPr>
          <w:rStyle w:val="CommentReference"/>
          <w:rFonts w:ascii="Times New Roman" w:hAnsi="Times New Roman"/>
          <w:sz w:val="24"/>
          <w:szCs w:val="24"/>
          <w:lang w:val="sr-Cyrl-BA"/>
        </w:rPr>
        <w:tab/>
        <w:t>–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članu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9.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stavu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4.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preciznije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propisano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primalac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ima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pravo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naknadu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odnosno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proviziju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strane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banke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prihvatioca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pružanja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usluge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povratom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gotovine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umjesto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nadoknade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stvarnih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troškova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za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pružene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usluge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tom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smislu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dopunjen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član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9.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stavom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5.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način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prihvatilac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dužan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primaoca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informiše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visini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naknade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koju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naplaćuje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izdavaoca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osnovu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usluge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plaćanja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povratom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gotovine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,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sve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s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ciljem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povećanja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transparentnosti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naknada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koje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trgovci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imaju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pravo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da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naplate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od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banke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 w:eastAsia="sr-Latn-CS"/>
        </w:rPr>
        <w:t>prihvatioca</w:t>
      </w:r>
      <w:r w:rsidR="00714805" w:rsidRPr="00E74403">
        <w:rPr>
          <w:rFonts w:ascii="Times New Roman" w:hAnsi="Times New Roman"/>
          <w:sz w:val="24"/>
          <w:szCs w:val="24"/>
          <w:lang w:val="sr-Cyrl-BA" w:eastAsia="sr-Latn-CS"/>
        </w:rPr>
        <w:t>.</w:t>
      </w:r>
    </w:p>
    <w:p w14:paraId="44889F23" w14:textId="77777777" w:rsidR="00B5779C" w:rsidRPr="00E74403" w:rsidRDefault="00B5779C" w:rsidP="00714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53C23D88" w14:textId="1331BCA9" w:rsidR="00714805" w:rsidRPr="00E74403" w:rsidRDefault="00E74403" w:rsidP="00714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hAnsi="Times New Roman"/>
          <w:b/>
          <w:sz w:val="24"/>
          <w:szCs w:val="24"/>
          <w:lang w:val="sr-Cyrl-BA"/>
        </w:rPr>
        <w:t>Prilikom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izrade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Prijedloga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obrađivač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je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razmatrao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druge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prijedloge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izmjene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Zakona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ali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ih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nije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prihvatio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iz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sljedećih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b/>
          <w:sz w:val="24"/>
          <w:szCs w:val="24"/>
          <w:lang w:val="sr-Cyrl-BA"/>
        </w:rPr>
        <w:t>razloga</w:t>
      </w:r>
      <w:r w:rsidR="00714805" w:rsidRPr="00E74403">
        <w:rPr>
          <w:rFonts w:ascii="Times New Roman" w:hAnsi="Times New Roman"/>
          <w:b/>
          <w:sz w:val="24"/>
          <w:szCs w:val="24"/>
          <w:lang w:val="sr-Cyrl-BA"/>
        </w:rPr>
        <w:t>:</w:t>
      </w:r>
    </w:p>
    <w:p w14:paraId="5DBF648B" w14:textId="77777777" w:rsidR="00714805" w:rsidRPr="00E74403" w:rsidRDefault="00714805" w:rsidP="00714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1281160B" w14:textId="75B80391" w:rsidR="00714805" w:rsidRPr="00E74403" w:rsidRDefault="00714805" w:rsidP="00714805">
      <w:pPr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/>
          <w:sz w:val="24"/>
          <w:szCs w:val="24"/>
          <w:lang w:val="sr-Cyrl-BA"/>
        </w:rPr>
      </w:pPr>
      <w:r w:rsidRPr="00E74403">
        <w:rPr>
          <w:rFonts w:ascii="Times New Roman" w:hAnsi="Times New Roman"/>
          <w:sz w:val="24"/>
          <w:szCs w:val="24"/>
          <w:lang w:val="sr-Cyrl-BA"/>
        </w:rPr>
        <w:t xml:space="preserve">1)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primjedbe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date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čl</w:t>
      </w:r>
      <w:r w:rsidR="00B5779C" w:rsidRPr="00E74403">
        <w:rPr>
          <w:rFonts w:ascii="Times New Roman" w:hAnsi="Times New Roman"/>
          <w:sz w:val="24"/>
          <w:szCs w:val="24"/>
          <w:lang w:val="sr-Cyrl-BA"/>
        </w:rPr>
        <w:t xml:space="preserve">. 7.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="00B5779C"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10.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Nacrta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kojima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ukazuje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banke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mogu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podržati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razdvajanje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naknada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dostavljanje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informacija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primaoca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pojedinačnim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platnim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transakcijama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kontekstu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prekomjerne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obrade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podataka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nemogućnosti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sistemske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podrške</w:t>
      </w:r>
      <w:r w:rsidRPr="00E7440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hAnsi="Times New Roman"/>
          <w:sz w:val="24"/>
          <w:szCs w:val="24"/>
          <w:lang w:val="sr-Cyrl-BA"/>
        </w:rPr>
        <w:t>istih</w:t>
      </w:r>
      <w:r w:rsidRPr="00E74403">
        <w:rPr>
          <w:rFonts w:ascii="Times New Roman" w:hAnsi="Times New Roman"/>
          <w:sz w:val="24"/>
          <w:szCs w:val="24"/>
          <w:lang w:val="sr-Cyrl-BA"/>
        </w:rPr>
        <w:t>.</w:t>
      </w:r>
    </w:p>
    <w:p w14:paraId="6841D6B8" w14:textId="1AC26D29" w:rsidR="00D43EB7" w:rsidRPr="00E74403" w:rsidRDefault="00E74403" w:rsidP="00D43EB7">
      <w:pPr>
        <w:pStyle w:val="Default"/>
        <w:numPr>
          <w:ilvl w:val="0"/>
          <w:numId w:val="8"/>
        </w:numPr>
        <w:ind w:left="714" w:hanging="357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Primjedba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nije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prihvaćena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jer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pravila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predložena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čl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. 7.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 10. </w:t>
      </w:r>
      <w:r w:rsidRPr="00E74403">
        <w:rPr>
          <w:rFonts w:ascii="Times New Roman" w:hAnsi="Times New Roman" w:cs="Times New Roman"/>
          <w:color w:val="auto"/>
          <w:lang w:val="sr-Cyrl-BA"/>
        </w:rPr>
        <w:t>trebalo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</w:t>
      </w:r>
      <w:r w:rsidR="00E72760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trgovcima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pruže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jasan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uvid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te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im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dostavljeni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podaci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omoguće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biraju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prihvatiti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kao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sredstvo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plaćanja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svojim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prodajnim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mjestima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Dalje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pretpostavlja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da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će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trgovci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svojom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poslovnom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politikom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a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ciljem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smanjenja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troškova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različitih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opredijeliti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poslovnu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saradnju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bankom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nudi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povoljnije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uslove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. </w:t>
      </w:r>
      <w:r w:rsidRPr="00E74403">
        <w:rPr>
          <w:rFonts w:ascii="Times New Roman" w:hAnsi="Times New Roman" w:cs="Times New Roman"/>
          <w:color w:val="auto"/>
          <w:lang w:val="sr-Cyrl-BA"/>
        </w:rPr>
        <w:t>Takođe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, </w:t>
      </w:r>
      <w:r w:rsidRPr="00E74403">
        <w:rPr>
          <w:rFonts w:ascii="Times New Roman" w:hAnsi="Times New Roman" w:cs="Times New Roman"/>
          <w:color w:val="auto"/>
          <w:lang w:val="sr-Cyrl-BA"/>
        </w:rPr>
        <w:t>na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sastanku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održanom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Privrednoj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komori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Republike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Srpske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predstavnicima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trgovaca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turističkih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subjekata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istaknut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značaj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transparentnog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izvještavanja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svim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naknadama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koje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navedeni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subjekti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plaćaju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prihvatanje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različitih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platnih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kartica</w:t>
      </w:r>
      <w:r w:rsidR="00EA756E" w:rsidRPr="00E74403">
        <w:rPr>
          <w:rFonts w:ascii="Times New Roman" w:hAnsi="Times New Roman" w:cs="Times New Roman"/>
          <w:color w:val="auto"/>
          <w:lang w:val="sr-Cyrl-BA"/>
        </w:rPr>
        <w:t>.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</w:p>
    <w:p w14:paraId="3A92DE23" w14:textId="29E8D881" w:rsidR="00EA756E" w:rsidRPr="00E74403" w:rsidRDefault="00E74403" w:rsidP="00D43EB7">
      <w:pPr>
        <w:pStyle w:val="Default"/>
        <w:ind w:left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E74403">
        <w:rPr>
          <w:rFonts w:ascii="Times New Roman" w:hAnsi="Times New Roman" w:cs="Times New Roman"/>
          <w:color w:val="auto"/>
          <w:lang w:val="sr-Cyrl-BA"/>
        </w:rPr>
        <w:t>Predložene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odredbe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čl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. 7.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 10. </w:t>
      </w:r>
      <w:r w:rsidRPr="00E74403">
        <w:rPr>
          <w:rFonts w:ascii="Times New Roman" w:hAnsi="Times New Roman" w:cs="Times New Roman"/>
          <w:color w:val="auto"/>
          <w:lang w:val="sr-Cyrl-BA"/>
        </w:rPr>
        <w:t>Nacrta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zakona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skladu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su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sa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E74403">
        <w:rPr>
          <w:rFonts w:ascii="Times New Roman" w:hAnsi="Times New Roman" w:cs="Times New Roman"/>
          <w:color w:val="auto"/>
          <w:lang w:val="sr-Cyrl-BA"/>
        </w:rPr>
        <w:t>čl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. 9. </w:t>
      </w:r>
      <w:r w:rsidRPr="00E74403">
        <w:rPr>
          <w:rFonts w:ascii="Times New Roman" w:hAnsi="Times New Roman" w:cs="Times New Roman"/>
          <w:color w:val="auto"/>
          <w:lang w:val="sr-Cyrl-BA"/>
        </w:rPr>
        <w:t>i</w:t>
      </w:r>
      <w:r w:rsidR="00B5779C" w:rsidRPr="00E74403">
        <w:rPr>
          <w:rFonts w:ascii="Times New Roman" w:hAnsi="Times New Roman" w:cs="Times New Roman"/>
          <w:color w:val="auto"/>
          <w:lang w:val="sr-Cyrl-BA"/>
        </w:rPr>
        <w:t xml:space="preserve"> 12. </w:t>
      </w:r>
      <w:r w:rsidRPr="00E74403">
        <w:rPr>
          <w:rFonts w:ascii="Times New Roman" w:hAnsi="Times New Roman" w:cs="Times New Roman"/>
          <w:color w:val="auto"/>
          <w:lang w:val="sr-Cyrl-BA"/>
        </w:rPr>
        <w:t>Regulative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 (E</w:t>
      </w:r>
      <w:r w:rsidRPr="00E74403">
        <w:rPr>
          <w:rFonts w:ascii="Times New Roman" w:hAnsi="Times New Roman" w:cs="Times New Roman"/>
          <w:color w:val="auto"/>
          <w:lang w:val="sr-Cyrl-BA"/>
        </w:rPr>
        <w:t>U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) </w:t>
      </w:r>
      <w:r w:rsidRPr="00E74403">
        <w:rPr>
          <w:rFonts w:ascii="Times New Roman" w:hAnsi="Times New Roman" w:cs="Times New Roman"/>
          <w:color w:val="auto"/>
          <w:lang w:val="sr-Cyrl-BA"/>
        </w:rPr>
        <w:t>br</w:t>
      </w:r>
      <w:r w:rsidR="00D43EB7" w:rsidRPr="00E74403">
        <w:rPr>
          <w:rFonts w:ascii="Times New Roman" w:hAnsi="Times New Roman" w:cs="Times New Roman"/>
          <w:color w:val="auto"/>
          <w:lang w:val="sr-Cyrl-BA"/>
        </w:rPr>
        <w:t xml:space="preserve">. 2015/751. </w:t>
      </w:r>
    </w:p>
    <w:p w14:paraId="47E7E5C0" w14:textId="112FED33" w:rsidR="00F72D5A" w:rsidRPr="00E74403" w:rsidRDefault="00F72D5A" w:rsidP="00714805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54CDDC9B" w14:textId="56BA35F0" w:rsidR="00714805" w:rsidRPr="00E74403" w:rsidRDefault="00E74403" w:rsidP="00714805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VII PROCJENA UTICAJA ZAKONA, </w:t>
      </w:r>
      <w:r w:rsidRPr="00E7440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DRUGIH PROPISA I OPŠTIH AKATA </w:t>
      </w:r>
      <w:r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t>NA UVOĐENJE NOVIH, IZMJENU ILI UKIDANJE POSTOJEĆIH</w:t>
      </w:r>
      <w:r w:rsidRPr="00E7440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FORMALNOSTI KOJE OPTEREĆUJU PRIVREDNO POSLOVANJE </w:t>
      </w:r>
    </w:p>
    <w:p w14:paraId="789512F4" w14:textId="77777777" w:rsidR="00714805" w:rsidRPr="00E74403" w:rsidRDefault="00714805" w:rsidP="00714805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4478626E" w14:textId="7573674D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Uvidom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sprovedeni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proces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metodologije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kratke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procjene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naknadama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Ministarstvo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privrede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preduzetništva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Mišljenju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broj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: 18.06-020-493/22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21.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februara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2022.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godine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konstatuje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sljedeće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:</w:t>
      </w:r>
    </w:p>
    <w:p w14:paraId="1DD965E8" w14:textId="0BC1A0D7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  <w:t xml:space="preserve">–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Donošenje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predviđeno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Programom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rada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Vlade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Programom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rada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Narodne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skupštine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2021.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godinu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</w:p>
    <w:p w14:paraId="4DE8CDCB" w14:textId="33FE7EFB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  <w:t xml:space="preserve">–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analizirao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postojeće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stanje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definisao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problem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Obrascu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sprovođenju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skraćenog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PUP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-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pripremi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izradi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isti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sastavni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dio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„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Razloga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donošenje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lastRenderedPageBreak/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“.</w:t>
      </w:r>
    </w:p>
    <w:p w14:paraId="720A3C84" w14:textId="32C6F6A3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  <w:t xml:space="preserve">–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definisao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ciljeve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koji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žele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postići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donošenjem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6EB1E9BD" w14:textId="491BDCBC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  <w:t xml:space="preserve">–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prednacrt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objavljen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internet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stranici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Ministarstva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finansija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obavljene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konsultacije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stručna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rasprava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relevantnim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institucijama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poslovnim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sektorom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udruženjem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potrošača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752F6B41" w14:textId="060265D4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  <w:t xml:space="preserve">–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utvrđivanja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opcija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rješenje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problema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nisu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razmatrane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druge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opcije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rješenje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problema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</w:p>
    <w:p w14:paraId="37328AE9" w14:textId="791AEC46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vezi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uticajem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okruženje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primaoci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odnosno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trgovci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imati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povoljniji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položaj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prilikom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zaključivanja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ugovora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prihvatiocem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pogledu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odlučivanja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prihvatanju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svih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ili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drugih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instrumenata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određenog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kartičnog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sistema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Očekuje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doprinijeti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zaštiti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stimulaciji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„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malih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srednjih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“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primalaca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razvoju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bezgotovinskog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ograničava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visina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iznos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koji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niži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trenutno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aktuelnog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iznosa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što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pozitivno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primaoce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Imajući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vidu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značajan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dio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trgovačke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čini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može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očekivati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smanjenje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troškova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prihvatanja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primaoci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imaju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prema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prihvatiocu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obzirom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efekte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snižavanja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prihode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pružalaca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predviđeno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počne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primjenjuje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šest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mjeseci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njegovog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stupanja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snagu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očekuje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pružaoci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sagledaju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svoje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modele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dijelu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karticama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svoje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prihode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rashode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segmenta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Međutim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srednji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dugi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rok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očekuje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povećanje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broja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terminala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broja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čime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eventualno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manji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prihodi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pružalaca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početnom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periodu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primjene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ovog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nadoknaditi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ili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ukupni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prihodi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karticama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povećati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usljed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efekta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ekonomije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obima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</w:p>
    <w:p w14:paraId="2907CE82" w14:textId="7883FA37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vezi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uticajem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javne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budžete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očekuje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pozitivan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republički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budžet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rezultat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poboljšanja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privrednih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subjekata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koji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prihvataju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bezgotovinski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instrument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  </w:t>
      </w:r>
    </w:p>
    <w:p w14:paraId="2B8A1E1B" w14:textId="1877DF69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vezi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socijalnim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uticajima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očekuje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pozitivan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potrošače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Naime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očekuje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će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niže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posljedično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trgovačke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dovesti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smanjenja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troškova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trgovaca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odnosno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primalaca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indirektno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snižavanja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cijena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Pozitivan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ogleda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pogledu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dostupnosti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informacija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obzirom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pružalac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usluga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dužan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primjerenom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roku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zaključenja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ugovora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platnoj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usluzi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potrošaču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dostavi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jasne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objektivne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informacije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brendovima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njihovim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karakteristikama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</w:p>
    <w:p w14:paraId="6CB1B338" w14:textId="44307DCD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vezi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uticajem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životnu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sredinu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utiče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životnu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sredinu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78355B22" w14:textId="7BF756C4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pitanju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sprovođenje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naveo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primjenu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odgovorni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: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banke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trgovci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primaoci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plaćanja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Agencija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bankarstvo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Republike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Srpske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nadležni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organi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zaštitu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potrošača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organi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nadležni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inspekcijski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nadzor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31F627DB" w14:textId="40240E6C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Prijedlogom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međubankarskim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naknadama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kod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transakcija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osnovu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platnih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kartica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nisu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propisane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formalnosti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građane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poslovni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sektor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Republici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Srpskoj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</w:t>
      </w:r>
    </w:p>
    <w:p w14:paraId="0A050305" w14:textId="5E0C07F0" w:rsidR="00714805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ab/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Ministarstvo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privrede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preduzetništva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utvrdilo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da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prilikom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primjene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skraćenog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procesa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procjene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postupio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skladu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metodologijom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propisanom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t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. VI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VIII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Odluke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sprovođenju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procesa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procjene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uticaja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postupku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izrade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74403" w:rsidRPr="00E74403">
        <w:rPr>
          <w:rFonts w:ascii="Times New Roman" w:eastAsia="Times New Roman" w:hAnsi="Times New Roman"/>
          <w:sz w:val="24"/>
          <w:szCs w:val="24"/>
          <w:lang w:val="sr-Cyrl-BA"/>
        </w:rPr>
        <w:t>propisa</w:t>
      </w:r>
      <w:r w:rsidRPr="00E74403">
        <w:rPr>
          <w:rFonts w:ascii="Times New Roman" w:eastAsia="Times New Roman" w:hAnsi="Times New Roman"/>
          <w:sz w:val="24"/>
          <w:szCs w:val="24"/>
          <w:lang w:val="sr-Cyrl-BA"/>
        </w:rPr>
        <w:t>.</w:t>
      </w:r>
    </w:p>
    <w:p w14:paraId="5C649C13" w14:textId="77777777" w:rsidR="0043648E" w:rsidRPr="00E74403" w:rsidRDefault="0043648E" w:rsidP="0043648E">
      <w:pPr>
        <w:widowControl w:val="0"/>
        <w:spacing w:after="0" w:line="240" w:lineRule="auto"/>
        <w:jc w:val="both"/>
        <w:outlineLvl w:val="7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5A99C062" w14:textId="77777777" w:rsidR="00E74403" w:rsidRPr="00E74403" w:rsidRDefault="00E74403" w:rsidP="0071480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6F5C8C30" w14:textId="77777777" w:rsidR="00E74403" w:rsidRPr="00E74403" w:rsidRDefault="00E74403" w:rsidP="0071480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241848BF" w14:textId="77777777" w:rsidR="00E74403" w:rsidRPr="00E74403" w:rsidRDefault="00E74403" w:rsidP="0071480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19E84730" w14:textId="77777777" w:rsidR="00E74403" w:rsidRPr="00E74403" w:rsidRDefault="00E74403" w:rsidP="0071480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7D518B56" w14:textId="50678CC1" w:rsidR="00714805" w:rsidRPr="00E74403" w:rsidRDefault="00E74403" w:rsidP="0071480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lastRenderedPageBreak/>
        <w:t>VIII FINANSIJSKA SREDSTVA I EKONOMSKA OPRAVDANOST DONOŠENJA ZAKONA</w:t>
      </w:r>
    </w:p>
    <w:p w14:paraId="1AC24B3C" w14:textId="3544B3CE" w:rsidR="00714805" w:rsidRPr="00E74403" w:rsidRDefault="00E74403" w:rsidP="00F65D2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BA"/>
        </w:rPr>
      </w:pPr>
      <w:r w:rsidRPr="00E74403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 </w:t>
      </w:r>
    </w:p>
    <w:p w14:paraId="45EF5097" w14:textId="1D1C4B20" w:rsidR="00714805" w:rsidRPr="00E74403" w:rsidRDefault="00E74403" w:rsidP="00F65D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 w:eastAsia="sr-Cyrl-RS"/>
        </w:rPr>
      </w:pP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Za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sprovođenje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ovog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zakona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nisu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potrebna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dodatna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sredstva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iz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budžeta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Republike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 xml:space="preserve"> </w:t>
      </w:r>
      <w:r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Srpske</w:t>
      </w:r>
      <w:r w:rsidR="00714805" w:rsidRPr="00E74403">
        <w:rPr>
          <w:rFonts w:ascii="Times New Roman" w:eastAsia="Times New Roman" w:hAnsi="Times New Roman"/>
          <w:sz w:val="24"/>
          <w:szCs w:val="24"/>
          <w:lang w:val="sr-Cyrl-BA" w:eastAsia="sr-Cyrl-RS"/>
        </w:rPr>
        <w:t>.</w:t>
      </w:r>
    </w:p>
    <w:p w14:paraId="100F7980" w14:textId="77777777" w:rsidR="00F65D23" w:rsidRPr="00E74403" w:rsidRDefault="00F65D23" w:rsidP="00F65D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 w:eastAsia="sr-Cyrl-RS"/>
        </w:rPr>
      </w:pPr>
    </w:p>
    <w:sectPr w:rsidR="00F65D23" w:rsidRPr="00E74403" w:rsidSect="00D3054E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84111" w14:textId="77777777" w:rsidR="006A3A25" w:rsidRDefault="006A3A25">
      <w:pPr>
        <w:spacing w:after="0" w:line="240" w:lineRule="auto"/>
      </w:pPr>
      <w:r>
        <w:separator/>
      </w:r>
    </w:p>
  </w:endnote>
  <w:endnote w:type="continuationSeparator" w:id="0">
    <w:p w14:paraId="595A368A" w14:textId="77777777" w:rsidR="006A3A25" w:rsidRDefault="006A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44B74" w14:textId="77777777" w:rsidR="00E74403" w:rsidRDefault="00E74403">
    <w:pPr>
      <w:pStyle w:val="Footer"/>
      <w:jc w:val="right"/>
    </w:pPr>
  </w:p>
  <w:p w14:paraId="49CF5DFB" w14:textId="77777777" w:rsidR="00E74403" w:rsidRDefault="00E744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562E2" w14:textId="77777777" w:rsidR="006A3A25" w:rsidRDefault="006A3A25">
      <w:pPr>
        <w:spacing w:after="0" w:line="240" w:lineRule="auto"/>
      </w:pPr>
      <w:r>
        <w:separator/>
      </w:r>
    </w:p>
  </w:footnote>
  <w:footnote w:type="continuationSeparator" w:id="0">
    <w:p w14:paraId="6B014575" w14:textId="77777777" w:rsidR="006A3A25" w:rsidRDefault="006A3A25">
      <w:pPr>
        <w:spacing w:after="0" w:line="240" w:lineRule="auto"/>
      </w:pPr>
      <w:r>
        <w:continuationSeparator/>
      </w:r>
    </w:p>
  </w:footnote>
  <w:footnote w:id="1">
    <w:p w14:paraId="0C0B5575" w14:textId="1CF43C17" w:rsidR="00E74403" w:rsidRPr="00F72D5A" w:rsidRDefault="00E74403" w:rsidP="00F72D5A">
      <w:pPr>
        <w:pStyle w:val="FootnoteText"/>
        <w:jc w:val="both"/>
        <w:rPr>
          <w:rFonts w:ascii="Times New Roman" w:hAnsi="Times New Roman"/>
          <w:sz w:val="18"/>
          <w:szCs w:val="18"/>
          <w:lang w:val="sr-Cyrl-BA"/>
        </w:rPr>
      </w:pPr>
      <w:r w:rsidRPr="00F72D5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 w:rsidRPr="00F72D5A">
        <w:rPr>
          <w:rFonts w:ascii="Times New Roman" w:hAnsi="Times New Roman"/>
          <w:i/>
          <w:sz w:val="18"/>
          <w:szCs w:val="18"/>
        </w:rPr>
        <w:t>Treaty on the Functioning of the European Union, Part One – Principles , Title II – Provisions Having General Application, Article 16 Paragraph 1, Title VII, – Common rules on competition, taxation  and approximation of laws, Chapter 3 – Approximation of laws, Article 114</w:t>
      </w:r>
      <w:r>
        <w:rPr>
          <w:rFonts w:ascii="Times New Roman" w:hAnsi="Times New Roman"/>
          <w:i/>
          <w:sz w:val="18"/>
          <w:szCs w:val="18"/>
          <w:lang w:val="sr-Cyrl-BA"/>
        </w:rPr>
        <w:t>.</w:t>
      </w:r>
    </w:p>
  </w:footnote>
  <w:footnote w:id="2">
    <w:p w14:paraId="29DA29CB" w14:textId="60B1F3A1" w:rsidR="00E74403" w:rsidRPr="00F72D5A" w:rsidRDefault="00E74403" w:rsidP="00F72D5A">
      <w:pPr>
        <w:pStyle w:val="FootnoteText"/>
        <w:jc w:val="both"/>
        <w:rPr>
          <w:rFonts w:ascii="Times New Roman" w:hAnsi="Times New Roman"/>
          <w:sz w:val="18"/>
          <w:szCs w:val="18"/>
          <w:lang w:val="sr-Cyrl-BA"/>
        </w:rPr>
      </w:pPr>
      <w:r w:rsidRPr="00F72D5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 w:rsidRPr="00F72D5A">
        <w:rPr>
          <w:rFonts w:ascii="Times New Roman" w:hAnsi="Times New Roman"/>
          <w:i/>
          <w:sz w:val="18"/>
          <w:szCs w:val="18"/>
        </w:rPr>
        <w:t>Regulation (EU) 2015/751 of the European Parliament and of the Council of 29 April 2015 on interchange fees for card-based payment transactions</w:t>
      </w:r>
      <w:r>
        <w:rPr>
          <w:rFonts w:ascii="Times New Roman" w:hAnsi="Times New Roman"/>
          <w:i/>
          <w:sz w:val="18"/>
          <w:szCs w:val="18"/>
          <w:lang w:val="sr-Cyrl-BA"/>
        </w:rPr>
        <w:t>.</w:t>
      </w:r>
    </w:p>
  </w:footnote>
  <w:footnote w:id="3">
    <w:p w14:paraId="5FA92442" w14:textId="1807618F" w:rsidR="00E74403" w:rsidRPr="00F72D5A" w:rsidRDefault="00E74403" w:rsidP="00F72D5A">
      <w:pPr>
        <w:pStyle w:val="FootnoteText"/>
        <w:jc w:val="both"/>
        <w:rPr>
          <w:lang w:val="sr-Cyrl-BA"/>
        </w:rPr>
      </w:pPr>
      <w:r w:rsidRPr="00F72D5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Sporazum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 w:rsidRPr="00F72D5A">
        <w:rPr>
          <w:rFonts w:ascii="Times New Roman" w:hAnsi="Times New Roman"/>
          <w:sz w:val="18"/>
          <w:szCs w:val="18"/>
          <w:lang w:val="sr-Latn-BA"/>
        </w:rPr>
        <w:t xml:space="preserve">o </w:t>
      </w:r>
      <w:r>
        <w:rPr>
          <w:rFonts w:ascii="Times New Roman" w:hAnsi="Times New Roman"/>
          <w:sz w:val="18"/>
          <w:szCs w:val="18"/>
        </w:rPr>
        <w:t>stabilizaciji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pridruživanju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između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evropskih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zajednica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njihovih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država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članica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BiH</w:t>
      </w:r>
      <w:r w:rsidRPr="00F72D5A">
        <w:rPr>
          <w:rFonts w:ascii="Times New Roman" w:hAnsi="Times New Roman"/>
          <w:sz w:val="18"/>
          <w:szCs w:val="18"/>
        </w:rPr>
        <w:t xml:space="preserve"> (</w:t>
      </w:r>
      <w:r>
        <w:rPr>
          <w:rFonts w:ascii="Times New Roman" w:hAnsi="Times New Roman"/>
          <w:sz w:val="18"/>
          <w:szCs w:val="18"/>
        </w:rPr>
        <w:t>„Službeni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glasnik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BiH</w:t>
      </w:r>
      <w:r w:rsidRPr="00F72D5A">
        <w:rPr>
          <w:rFonts w:ascii="Times New Roman" w:hAnsi="Times New Roman"/>
          <w:sz w:val="18"/>
          <w:szCs w:val="18"/>
        </w:rPr>
        <w:t xml:space="preserve"> – </w:t>
      </w:r>
      <w:r>
        <w:rPr>
          <w:rFonts w:ascii="Times New Roman" w:hAnsi="Times New Roman"/>
          <w:sz w:val="18"/>
          <w:szCs w:val="18"/>
        </w:rPr>
        <w:t>Međunarodni</w:t>
      </w:r>
      <w:r w:rsidRPr="00F72D5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ugovori</w:t>
      </w:r>
      <w:r w:rsidRPr="00F72D5A">
        <w:rPr>
          <w:rFonts w:ascii="Times New Roman" w:hAnsi="Times New Roman"/>
          <w:sz w:val="18"/>
          <w:szCs w:val="18"/>
        </w:rPr>
        <w:t xml:space="preserve">“, </w:t>
      </w:r>
      <w:r>
        <w:rPr>
          <w:rFonts w:ascii="Times New Roman" w:hAnsi="Times New Roman"/>
          <w:sz w:val="18"/>
          <w:szCs w:val="18"/>
        </w:rPr>
        <w:t>broj</w:t>
      </w:r>
      <w:r w:rsidRPr="00F72D5A">
        <w:rPr>
          <w:rFonts w:ascii="Times New Roman" w:hAnsi="Times New Roman"/>
          <w:sz w:val="18"/>
          <w:szCs w:val="18"/>
        </w:rPr>
        <w:t xml:space="preserve"> 10/08)</w:t>
      </w:r>
      <w:r w:rsidRPr="00F72D5A">
        <w:rPr>
          <w:rFonts w:ascii="Times New Roman" w:hAnsi="Times New Roman"/>
          <w:sz w:val="18"/>
          <w:szCs w:val="18"/>
          <w:lang w:val="sr-Cyrl-BA"/>
        </w:rPr>
        <w:t>.</w:t>
      </w:r>
    </w:p>
  </w:footnote>
  <w:footnote w:id="4">
    <w:p w14:paraId="092996C4" w14:textId="13EDE100" w:rsidR="00E74403" w:rsidRPr="00E74403" w:rsidRDefault="00E74403" w:rsidP="0043648E">
      <w:pPr>
        <w:pStyle w:val="FootnoteText"/>
        <w:jc w:val="both"/>
        <w:rPr>
          <w:rFonts w:ascii="Times New Roman" w:hAnsi="Times New Roman"/>
          <w:sz w:val="18"/>
          <w:szCs w:val="18"/>
          <w:lang w:val="sr-Cyrl-BA"/>
        </w:rPr>
      </w:pPr>
      <w:r w:rsidRPr="00E74403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74403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E74403">
        <w:rPr>
          <w:rFonts w:ascii="Times New Roman" w:hAnsi="Times New Roman"/>
          <w:sz w:val="18"/>
          <w:szCs w:val="18"/>
          <w:lang w:val="sr-Cyrl-BA"/>
        </w:rPr>
        <w:t xml:space="preserve">Izvor podataka: </w:t>
      </w:r>
      <w:hyperlink r:id="rId1" w:history="1">
        <w:r w:rsidRPr="00E74403">
          <w:rPr>
            <w:rStyle w:val="Hyperlink"/>
            <w:rFonts w:ascii="Times New Roman" w:hAnsi="Times New Roman"/>
            <w:sz w:val="18"/>
            <w:szCs w:val="18"/>
          </w:rPr>
          <w:t>https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://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hnb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hr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analize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i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publikacije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redovne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publikacije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platne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kartice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i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karticne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transakcije</w:t>
        </w:r>
      </w:hyperlink>
      <w:r w:rsidRPr="00E74403">
        <w:rPr>
          <w:rFonts w:ascii="Times New Roman" w:hAnsi="Times New Roman"/>
          <w:sz w:val="18"/>
          <w:szCs w:val="18"/>
          <w:lang w:val="sr-Cyrl-BA"/>
        </w:rPr>
        <w:t>.</w:t>
      </w:r>
    </w:p>
  </w:footnote>
  <w:footnote w:id="5">
    <w:p w14:paraId="1B899D75" w14:textId="36DE5746" w:rsidR="00E74403" w:rsidRPr="00E74403" w:rsidRDefault="00E74403" w:rsidP="0043648E">
      <w:pPr>
        <w:pStyle w:val="FootnoteText"/>
        <w:jc w:val="both"/>
        <w:rPr>
          <w:rFonts w:ascii="Times New Roman" w:hAnsi="Times New Roman"/>
          <w:sz w:val="18"/>
          <w:szCs w:val="18"/>
          <w:lang w:val="sr-Cyrl-BA"/>
        </w:rPr>
      </w:pPr>
      <w:r w:rsidRPr="00E74403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74403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E74403">
        <w:rPr>
          <w:rFonts w:ascii="Times New Roman" w:hAnsi="Times New Roman"/>
          <w:sz w:val="18"/>
          <w:szCs w:val="18"/>
          <w:lang w:val="sr-Cyrl-BA"/>
        </w:rPr>
        <w:t xml:space="preserve">Izvor podataka za prihvatnu mrežu: </w:t>
      </w:r>
      <w:hyperlink r:id="rId2" w:history="1">
        <w:r w:rsidRPr="00E74403">
          <w:rPr>
            <w:rStyle w:val="Hyperlink"/>
            <w:rFonts w:ascii="Times New Roman" w:hAnsi="Times New Roman"/>
            <w:sz w:val="18"/>
            <w:szCs w:val="18"/>
          </w:rPr>
          <w:t>https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://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nbs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rs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sr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_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RS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ciljevi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i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funkcije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platni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sistem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E74403">
          <w:rPr>
            <w:rStyle w:val="Hyperlink"/>
            <w:rFonts w:ascii="Times New Roman" w:hAnsi="Times New Roman"/>
            <w:sz w:val="18"/>
            <w:szCs w:val="18"/>
          </w:rPr>
          <w:t>statistika</w:t>
        </w:r>
        <w:r w:rsidRPr="00E74403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</w:hyperlink>
      <w:r w:rsidRPr="00E74403">
        <w:rPr>
          <w:rFonts w:ascii="Times New Roman" w:hAnsi="Times New Roman"/>
          <w:sz w:val="18"/>
          <w:szCs w:val="18"/>
          <w:lang w:val="sr-Cyrl-BA"/>
        </w:rPr>
        <w:t xml:space="preserve">; izvor podataka o broju stanovnika u Srbiji </w:t>
      </w:r>
      <w:hyperlink r:id="rId3" w:history="1">
        <w:r w:rsidRPr="00E74403">
          <w:rPr>
            <w:rStyle w:val="Hyperlink"/>
            <w:rFonts w:ascii="Times New Roman" w:hAnsi="Times New Roman"/>
            <w:sz w:val="18"/>
            <w:szCs w:val="18"/>
            <w:lang w:val="sr-Cyrl-BA"/>
          </w:rPr>
          <w:t>https://www.stat.gov.rs/sr-Latn/oblasti/stanovnistvo/procene-stanovnistva</w:t>
        </w:r>
      </w:hyperlink>
      <w:r w:rsidRPr="00E74403">
        <w:rPr>
          <w:rFonts w:ascii="Times New Roman" w:hAnsi="Times New Roman"/>
          <w:sz w:val="18"/>
          <w:szCs w:val="18"/>
          <w:lang w:val="sr-Cyrl-BA"/>
        </w:rPr>
        <w:t>.</w:t>
      </w:r>
    </w:p>
  </w:footnote>
  <w:footnote w:id="6">
    <w:p w14:paraId="096A4ED6" w14:textId="27BF1963" w:rsidR="00E74403" w:rsidRPr="00E74403" w:rsidRDefault="00E74403" w:rsidP="0043648E">
      <w:pPr>
        <w:pStyle w:val="FootnoteText"/>
        <w:jc w:val="both"/>
        <w:rPr>
          <w:rFonts w:ascii="Times New Roman" w:hAnsi="Times New Roman"/>
          <w:sz w:val="18"/>
          <w:szCs w:val="18"/>
          <w:lang w:val="sr-Latn-BA"/>
        </w:rPr>
      </w:pPr>
      <w:r w:rsidRPr="00E74403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74403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E74403">
        <w:rPr>
          <w:rFonts w:ascii="Times New Roman" w:hAnsi="Times New Roman"/>
          <w:sz w:val="18"/>
          <w:szCs w:val="18"/>
          <w:lang w:val="sr-Cyrl-BA"/>
        </w:rPr>
        <w:t>Prema podacima Republičkog zavoda za statistiku Republike Srpske, broj stanovnika u Republici Srpskoj u 2020. godini iznosi 1.136.274 (https://www.rzs.rs.ba/)</w:t>
      </w:r>
      <w:r w:rsidRPr="00E74403">
        <w:rPr>
          <w:rFonts w:ascii="Times New Roman" w:hAnsi="Times New Roman"/>
          <w:sz w:val="18"/>
          <w:szCs w:val="18"/>
          <w:lang w:val="sr-Latn-BA"/>
        </w:rPr>
        <w:t>.</w:t>
      </w:r>
    </w:p>
  </w:footnote>
  <w:footnote w:id="7">
    <w:p w14:paraId="4E5F21D9" w14:textId="018026D7" w:rsidR="00E74403" w:rsidRPr="00CE65DD" w:rsidRDefault="00E74403" w:rsidP="0043648E">
      <w:pPr>
        <w:pStyle w:val="FootnoteText"/>
        <w:jc w:val="both"/>
        <w:rPr>
          <w:lang w:val="sr-Cyrl-BA"/>
        </w:rPr>
      </w:pPr>
      <w:r w:rsidRPr="00E74403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74403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E74403">
        <w:rPr>
          <w:rFonts w:ascii="Times New Roman" w:hAnsi="Times New Roman"/>
          <w:sz w:val="18"/>
          <w:szCs w:val="18"/>
          <w:lang w:val="sr-Cyrl-BA"/>
        </w:rPr>
        <w:t>Površina Republike Srpske iznosi 24.856 km².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587"/>
    <w:multiLevelType w:val="hybridMultilevel"/>
    <w:tmpl w:val="0CFEE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C40B5"/>
    <w:multiLevelType w:val="hybridMultilevel"/>
    <w:tmpl w:val="77F44E66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D465B4"/>
    <w:multiLevelType w:val="hybridMultilevel"/>
    <w:tmpl w:val="0E3C6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D0F01"/>
    <w:multiLevelType w:val="hybridMultilevel"/>
    <w:tmpl w:val="BBD67884"/>
    <w:lvl w:ilvl="0" w:tplc="AB78A0C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584378"/>
    <w:multiLevelType w:val="hybridMultilevel"/>
    <w:tmpl w:val="A210C7C2"/>
    <w:lvl w:ilvl="0" w:tplc="DADCC21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314D9B"/>
    <w:multiLevelType w:val="hybridMultilevel"/>
    <w:tmpl w:val="B49E8686"/>
    <w:lvl w:ilvl="0" w:tplc="542A58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56792"/>
    <w:multiLevelType w:val="hybridMultilevel"/>
    <w:tmpl w:val="552840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4E3591"/>
    <w:multiLevelType w:val="hybridMultilevel"/>
    <w:tmpl w:val="5D8EAED0"/>
    <w:lvl w:ilvl="0" w:tplc="DADCC21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15"/>
    <w:rsid w:val="000017CD"/>
    <w:rsid w:val="00004A4A"/>
    <w:rsid w:val="00004C37"/>
    <w:rsid w:val="00005E54"/>
    <w:rsid w:val="00007071"/>
    <w:rsid w:val="00011113"/>
    <w:rsid w:val="00013D5D"/>
    <w:rsid w:val="00014D97"/>
    <w:rsid w:val="00022877"/>
    <w:rsid w:val="00027E45"/>
    <w:rsid w:val="00032F63"/>
    <w:rsid w:val="000332E7"/>
    <w:rsid w:val="00037B07"/>
    <w:rsid w:val="00041D7E"/>
    <w:rsid w:val="00044526"/>
    <w:rsid w:val="00047600"/>
    <w:rsid w:val="000505F6"/>
    <w:rsid w:val="0005484B"/>
    <w:rsid w:val="000567B4"/>
    <w:rsid w:val="00063CC6"/>
    <w:rsid w:val="000663A3"/>
    <w:rsid w:val="00070AB7"/>
    <w:rsid w:val="0007139A"/>
    <w:rsid w:val="00071D84"/>
    <w:rsid w:val="00072A33"/>
    <w:rsid w:val="00075933"/>
    <w:rsid w:val="00076F25"/>
    <w:rsid w:val="00081449"/>
    <w:rsid w:val="000874C1"/>
    <w:rsid w:val="000879A8"/>
    <w:rsid w:val="00090481"/>
    <w:rsid w:val="0009485C"/>
    <w:rsid w:val="000967F2"/>
    <w:rsid w:val="0009714E"/>
    <w:rsid w:val="00097B35"/>
    <w:rsid w:val="000A081D"/>
    <w:rsid w:val="000A1157"/>
    <w:rsid w:val="000A24E7"/>
    <w:rsid w:val="000C2C09"/>
    <w:rsid w:val="000C33CC"/>
    <w:rsid w:val="000C7356"/>
    <w:rsid w:val="000D0FB0"/>
    <w:rsid w:val="000D1B3C"/>
    <w:rsid w:val="000D4E90"/>
    <w:rsid w:val="000E010D"/>
    <w:rsid w:val="000E0265"/>
    <w:rsid w:val="000E0F30"/>
    <w:rsid w:val="000E4267"/>
    <w:rsid w:val="000F277C"/>
    <w:rsid w:val="000F58A5"/>
    <w:rsid w:val="0010084D"/>
    <w:rsid w:val="00104355"/>
    <w:rsid w:val="00105CB3"/>
    <w:rsid w:val="00106474"/>
    <w:rsid w:val="00110CAB"/>
    <w:rsid w:val="00111515"/>
    <w:rsid w:val="00114E6C"/>
    <w:rsid w:val="001221C1"/>
    <w:rsid w:val="001242F7"/>
    <w:rsid w:val="00124BDF"/>
    <w:rsid w:val="0013225E"/>
    <w:rsid w:val="001323BA"/>
    <w:rsid w:val="001328E1"/>
    <w:rsid w:val="00133CFB"/>
    <w:rsid w:val="00140358"/>
    <w:rsid w:val="00141644"/>
    <w:rsid w:val="00142924"/>
    <w:rsid w:val="00144117"/>
    <w:rsid w:val="00144F00"/>
    <w:rsid w:val="001473B6"/>
    <w:rsid w:val="00152BDE"/>
    <w:rsid w:val="00153492"/>
    <w:rsid w:val="00153C01"/>
    <w:rsid w:val="00154338"/>
    <w:rsid w:val="001562C1"/>
    <w:rsid w:val="001614E1"/>
    <w:rsid w:val="00165841"/>
    <w:rsid w:val="0016651F"/>
    <w:rsid w:val="001665AB"/>
    <w:rsid w:val="00166FEB"/>
    <w:rsid w:val="00177275"/>
    <w:rsid w:val="001777C6"/>
    <w:rsid w:val="001833F0"/>
    <w:rsid w:val="001A536E"/>
    <w:rsid w:val="001A6B2B"/>
    <w:rsid w:val="001A6B9F"/>
    <w:rsid w:val="001B5D3C"/>
    <w:rsid w:val="001B6950"/>
    <w:rsid w:val="001C0B8A"/>
    <w:rsid w:val="001C135F"/>
    <w:rsid w:val="001C1476"/>
    <w:rsid w:val="001C7F13"/>
    <w:rsid w:val="001D0964"/>
    <w:rsid w:val="001D3E1A"/>
    <w:rsid w:val="001D4B45"/>
    <w:rsid w:val="001D732C"/>
    <w:rsid w:val="001E2C6D"/>
    <w:rsid w:val="001E6BF6"/>
    <w:rsid w:val="001E7C50"/>
    <w:rsid w:val="001E7D01"/>
    <w:rsid w:val="001F2240"/>
    <w:rsid w:val="001F2972"/>
    <w:rsid w:val="001F360C"/>
    <w:rsid w:val="001F4123"/>
    <w:rsid w:val="001F4932"/>
    <w:rsid w:val="001F504E"/>
    <w:rsid w:val="001F7F22"/>
    <w:rsid w:val="00204D9F"/>
    <w:rsid w:val="002054AD"/>
    <w:rsid w:val="00205AF2"/>
    <w:rsid w:val="0021030D"/>
    <w:rsid w:val="00213D3F"/>
    <w:rsid w:val="002175E3"/>
    <w:rsid w:val="002213CD"/>
    <w:rsid w:val="00222152"/>
    <w:rsid w:val="00222B1C"/>
    <w:rsid w:val="0022585C"/>
    <w:rsid w:val="0023624A"/>
    <w:rsid w:val="002430E1"/>
    <w:rsid w:val="00252DAE"/>
    <w:rsid w:val="00262E8E"/>
    <w:rsid w:val="002664A3"/>
    <w:rsid w:val="00266A71"/>
    <w:rsid w:val="00266FCA"/>
    <w:rsid w:val="00276E46"/>
    <w:rsid w:val="00281695"/>
    <w:rsid w:val="00281A79"/>
    <w:rsid w:val="00282969"/>
    <w:rsid w:val="00282D74"/>
    <w:rsid w:val="0028419C"/>
    <w:rsid w:val="00285F64"/>
    <w:rsid w:val="00287C64"/>
    <w:rsid w:val="002969AB"/>
    <w:rsid w:val="002A46D4"/>
    <w:rsid w:val="002A72D4"/>
    <w:rsid w:val="002B3815"/>
    <w:rsid w:val="002C2515"/>
    <w:rsid w:val="002C37F0"/>
    <w:rsid w:val="002D14EB"/>
    <w:rsid w:val="002D1EFC"/>
    <w:rsid w:val="002D6AE2"/>
    <w:rsid w:val="002E0E7A"/>
    <w:rsid w:val="002E4E37"/>
    <w:rsid w:val="002E5413"/>
    <w:rsid w:val="002F3E3E"/>
    <w:rsid w:val="002F43BF"/>
    <w:rsid w:val="002F7C11"/>
    <w:rsid w:val="00302E91"/>
    <w:rsid w:val="0030364A"/>
    <w:rsid w:val="00303C0F"/>
    <w:rsid w:val="0031018A"/>
    <w:rsid w:val="00310219"/>
    <w:rsid w:val="00310B0D"/>
    <w:rsid w:val="003134B1"/>
    <w:rsid w:val="00314116"/>
    <w:rsid w:val="00316D8C"/>
    <w:rsid w:val="00321196"/>
    <w:rsid w:val="0033142E"/>
    <w:rsid w:val="00332F80"/>
    <w:rsid w:val="00337967"/>
    <w:rsid w:val="00341999"/>
    <w:rsid w:val="003442FD"/>
    <w:rsid w:val="0034449C"/>
    <w:rsid w:val="00346131"/>
    <w:rsid w:val="00350020"/>
    <w:rsid w:val="0035572C"/>
    <w:rsid w:val="00356163"/>
    <w:rsid w:val="003572B2"/>
    <w:rsid w:val="00361DD3"/>
    <w:rsid w:val="003632CB"/>
    <w:rsid w:val="00364F90"/>
    <w:rsid w:val="00367118"/>
    <w:rsid w:val="003671C0"/>
    <w:rsid w:val="003675BC"/>
    <w:rsid w:val="00375333"/>
    <w:rsid w:val="003756CE"/>
    <w:rsid w:val="00375B54"/>
    <w:rsid w:val="00393D55"/>
    <w:rsid w:val="0039691F"/>
    <w:rsid w:val="00396D5D"/>
    <w:rsid w:val="003A548C"/>
    <w:rsid w:val="003A5B34"/>
    <w:rsid w:val="003A6F82"/>
    <w:rsid w:val="003A7B01"/>
    <w:rsid w:val="003A7B3D"/>
    <w:rsid w:val="003B3E57"/>
    <w:rsid w:val="003B55F9"/>
    <w:rsid w:val="003B660C"/>
    <w:rsid w:val="003B66C6"/>
    <w:rsid w:val="003B74F8"/>
    <w:rsid w:val="003C2AA3"/>
    <w:rsid w:val="003C4604"/>
    <w:rsid w:val="003D0308"/>
    <w:rsid w:val="003D25E4"/>
    <w:rsid w:val="003D4111"/>
    <w:rsid w:val="003D5803"/>
    <w:rsid w:val="003E0257"/>
    <w:rsid w:val="003E078A"/>
    <w:rsid w:val="003E3589"/>
    <w:rsid w:val="003E3A0F"/>
    <w:rsid w:val="003F1F85"/>
    <w:rsid w:val="003F3DC4"/>
    <w:rsid w:val="003F455C"/>
    <w:rsid w:val="003F4CF6"/>
    <w:rsid w:val="003F52AD"/>
    <w:rsid w:val="003F5493"/>
    <w:rsid w:val="00402218"/>
    <w:rsid w:val="00403584"/>
    <w:rsid w:val="00405B22"/>
    <w:rsid w:val="00405D16"/>
    <w:rsid w:val="00406C61"/>
    <w:rsid w:val="0041320A"/>
    <w:rsid w:val="00413A15"/>
    <w:rsid w:val="00415777"/>
    <w:rsid w:val="00421CA9"/>
    <w:rsid w:val="0042236F"/>
    <w:rsid w:val="004229F0"/>
    <w:rsid w:val="004230F8"/>
    <w:rsid w:val="00423920"/>
    <w:rsid w:val="00424AE5"/>
    <w:rsid w:val="00426B9D"/>
    <w:rsid w:val="004311C6"/>
    <w:rsid w:val="00431202"/>
    <w:rsid w:val="004312F5"/>
    <w:rsid w:val="00433A40"/>
    <w:rsid w:val="00433C0F"/>
    <w:rsid w:val="0043537D"/>
    <w:rsid w:val="0043648E"/>
    <w:rsid w:val="004371A7"/>
    <w:rsid w:val="0043771B"/>
    <w:rsid w:val="00445B3B"/>
    <w:rsid w:val="00445C2F"/>
    <w:rsid w:val="00451564"/>
    <w:rsid w:val="004516D2"/>
    <w:rsid w:val="004544A8"/>
    <w:rsid w:val="0046195D"/>
    <w:rsid w:val="00462CDB"/>
    <w:rsid w:val="00466099"/>
    <w:rsid w:val="0047383E"/>
    <w:rsid w:val="00474B63"/>
    <w:rsid w:val="00474F06"/>
    <w:rsid w:val="00477107"/>
    <w:rsid w:val="00477DFF"/>
    <w:rsid w:val="00484EFE"/>
    <w:rsid w:val="00486841"/>
    <w:rsid w:val="00486AAE"/>
    <w:rsid w:val="0049117C"/>
    <w:rsid w:val="00491D71"/>
    <w:rsid w:val="004A7FE1"/>
    <w:rsid w:val="004B354D"/>
    <w:rsid w:val="004B3657"/>
    <w:rsid w:val="004B4893"/>
    <w:rsid w:val="004B4D9B"/>
    <w:rsid w:val="004B6DA9"/>
    <w:rsid w:val="004C23E2"/>
    <w:rsid w:val="004C461F"/>
    <w:rsid w:val="004C5DEA"/>
    <w:rsid w:val="004C64FD"/>
    <w:rsid w:val="004C6760"/>
    <w:rsid w:val="004C71C4"/>
    <w:rsid w:val="004D1D03"/>
    <w:rsid w:val="004D2BF7"/>
    <w:rsid w:val="004D641D"/>
    <w:rsid w:val="004D6767"/>
    <w:rsid w:val="004E388C"/>
    <w:rsid w:val="004E7E2F"/>
    <w:rsid w:val="004F087E"/>
    <w:rsid w:val="004F1553"/>
    <w:rsid w:val="004F6475"/>
    <w:rsid w:val="00500B91"/>
    <w:rsid w:val="005019F2"/>
    <w:rsid w:val="00503583"/>
    <w:rsid w:val="0050706A"/>
    <w:rsid w:val="00515D72"/>
    <w:rsid w:val="00516727"/>
    <w:rsid w:val="00517EDE"/>
    <w:rsid w:val="00525136"/>
    <w:rsid w:val="0052589D"/>
    <w:rsid w:val="00525A4E"/>
    <w:rsid w:val="00525AE9"/>
    <w:rsid w:val="00534BB9"/>
    <w:rsid w:val="005357D8"/>
    <w:rsid w:val="0053586C"/>
    <w:rsid w:val="00545231"/>
    <w:rsid w:val="00545B59"/>
    <w:rsid w:val="00552814"/>
    <w:rsid w:val="0055771C"/>
    <w:rsid w:val="005630DE"/>
    <w:rsid w:val="00567D16"/>
    <w:rsid w:val="00573106"/>
    <w:rsid w:val="005749A4"/>
    <w:rsid w:val="00575C9C"/>
    <w:rsid w:val="00583863"/>
    <w:rsid w:val="0059174A"/>
    <w:rsid w:val="0059730A"/>
    <w:rsid w:val="005A1211"/>
    <w:rsid w:val="005A38FC"/>
    <w:rsid w:val="005A5515"/>
    <w:rsid w:val="005A7C5C"/>
    <w:rsid w:val="005B09BD"/>
    <w:rsid w:val="005B1C93"/>
    <w:rsid w:val="005B3998"/>
    <w:rsid w:val="005B7391"/>
    <w:rsid w:val="005B7B9B"/>
    <w:rsid w:val="005C02EF"/>
    <w:rsid w:val="005C2090"/>
    <w:rsid w:val="005C26F3"/>
    <w:rsid w:val="005C481A"/>
    <w:rsid w:val="005C49BF"/>
    <w:rsid w:val="005C75CA"/>
    <w:rsid w:val="005D1C9F"/>
    <w:rsid w:val="005E33D9"/>
    <w:rsid w:val="005E34B9"/>
    <w:rsid w:val="005F2E92"/>
    <w:rsid w:val="005F3FD1"/>
    <w:rsid w:val="005F4C6F"/>
    <w:rsid w:val="006021F0"/>
    <w:rsid w:val="00612B2C"/>
    <w:rsid w:val="006156AB"/>
    <w:rsid w:val="00615A4A"/>
    <w:rsid w:val="00617E89"/>
    <w:rsid w:val="006312F2"/>
    <w:rsid w:val="0063321B"/>
    <w:rsid w:val="00634045"/>
    <w:rsid w:val="006355F4"/>
    <w:rsid w:val="00636F74"/>
    <w:rsid w:val="00637566"/>
    <w:rsid w:val="00641381"/>
    <w:rsid w:val="00647454"/>
    <w:rsid w:val="00664F84"/>
    <w:rsid w:val="00667715"/>
    <w:rsid w:val="00675D3B"/>
    <w:rsid w:val="006762EF"/>
    <w:rsid w:val="00680489"/>
    <w:rsid w:val="00680DD0"/>
    <w:rsid w:val="006812C6"/>
    <w:rsid w:val="00681732"/>
    <w:rsid w:val="006872F9"/>
    <w:rsid w:val="006A3A25"/>
    <w:rsid w:val="006A63BF"/>
    <w:rsid w:val="006A7169"/>
    <w:rsid w:val="006B0146"/>
    <w:rsid w:val="006B49B3"/>
    <w:rsid w:val="006B4ED0"/>
    <w:rsid w:val="006C05E3"/>
    <w:rsid w:val="006C0C5A"/>
    <w:rsid w:val="006C1858"/>
    <w:rsid w:val="006C4D51"/>
    <w:rsid w:val="006D0531"/>
    <w:rsid w:val="006D1E71"/>
    <w:rsid w:val="006D20B3"/>
    <w:rsid w:val="006D510D"/>
    <w:rsid w:val="006E097D"/>
    <w:rsid w:val="006E1032"/>
    <w:rsid w:val="006E174B"/>
    <w:rsid w:val="006E483C"/>
    <w:rsid w:val="006E520B"/>
    <w:rsid w:val="006E7D34"/>
    <w:rsid w:val="006F2A8D"/>
    <w:rsid w:val="006F4001"/>
    <w:rsid w:val="006F4BA8"/>
    <w:rsid w:val="006F6881"/>
    <w:rsid w:val="00703CC5"/>
    <w:rsid w:val="00706CC2"/>
    <w:rsid w:val="00706D45"/>
    <w:rsid w:val="00710311"/>
    <w:rsid w:val="00711509"/>
    <w:rsid w:val="00713862"/>
    <w:rsid w:val="0071451D"/>
    <w:rsid w:val="00714805"/>
    <w:rsid w:val="0071551A"/>
    <w:rsid w:val="00717751"/>
    <w:rsid w:val="00721157"/>
    <w:rsid w:val="00721C53"/>
    <w:rsid w:val="007233DA"/>
    <w:rsid w:val="007254E8"/>
    <w:rsid w:val="00736A59"/>
    <w:rsid w:val="00746F18"/>
    <w:rsid w:val="00747614"/>
    <w:rsid w:val="0075079F"/>
    <w:rsid w:val="007525B0"/>
    <w:rsid w:val="00752B32"/>
    <w:rsid w:val="00754C30"/>
    <w:rsid w:val="00755950"/>
    <w:rsid w:val="0075659B"/>
    <w:rsid w:val="007568D8"/>
    <w:rsid w:val="00756BC9"/>
    <w:rsid w:val="00767071"/>
    <w:rsid w:val="007670B6"/>
    <w:rsid w:val="007671F4"/>
    <w:rsid w:val="00771467"/>
    <w:rsid w:val="00774DC8"/>
    <w:rsid w:val="007769EC"/>
    <w:rsid w:val="00781D95"/>
    <w:rsid w:val="00784FF0"/>
    <w:rsid w:val="0078785B"/>
    <w:rsid w:val="007912DE"/>
    <w:rsid w:val="00793549"/>
    <w:rsid w:val="00794160"/>
    <w:rsid w:val="007A03A7"/>
    <w:rsid w:val="007A2B15"/>
    <w:rsid w:val="007A7D36"/>
    <w:rsid w:val="007B34A0"/>
    <w:rsid w:val="007B48E2"/>
    <w:rsid w:val="007C0382"/>
    <w:rsid w:val="007C155A"/>
    <w:rsid w:val="007C3E35"/>
    <w:rsid w:val="007D0ED6"/>
    <w:rsid w:val="007D48A5"/>
    <w:rsid w:val="007D5A5F"/>
    <w:rsid w:val="007E0F2E"/>
    <w:rsid w:val="007E523F"/>
    <w:rsid w:val="007F1AB6"/>
    <w:rsid w:val="007F3FA5"/>
    <w:rsid w:val="007F7229"/>
    <w:rsid w:val="007F7E9F"/>
    <w:rsid w:val="00801EA1"/>
    <w:rsid w:val="00804B11"/>
    <w:rsid w:val="00814D6D"/>
    <w:rsid w:val="008158C9"/>
    <w:rsid w:val="00820131"/>
    <w:rsid w:val="00820909"/>
    <w:rsid w:val="0082394B"/>
    <w:rsid w:val="00830700"/>
    <w:rsid w:val="00832FD5"/>
    <w:rsid w:val="00834828"/>
    <w:rsid w:val="00836873"/>
    <w:rsid w:val="0084369C"/>
    <w:rsid w:val="008459FD"/>
    <w:rsid w:val="0084617E"/>
    <w:rsid w:val="00853C77"/>
    <w:rsid w:val="00857AA8"/>
    <w:rsid w:val="00857B85"/>
    <w:rsid w:val="00860AE1"/>
    <w:rsid w:val="00861FFC"/>
    <w:rsid w:val="00872BE7"/>
    <w:rsid w:val="0087655B"/>
    <w:rsid w:val="00884A5E"/>
    <w:rsid w:val="008855C0"/>
    <w:rsid w:val="00886461"/>
    <w:rsid w:val="008905A5"/>
    <w:rsid w:val="0089119B"/>
    <w:rsid w:val="00894159"/>
    <w:rsid w:val="00894E25"/>
    <w:rsid w:val="00895529"/>
    <w:rsid w:val="00895ADD"/>
    <w:rsid w:val="008A1C07"/>
    <w:rsid w:val="008A1C44"/>
    <w:rsid w:val="008A32FB"/>
    <w:rsid w:val="008B04EB"/>
    <w:rsid w:val="008B72E3"/>
    <w:rsid w:val="008C266E"/>
    <w:rsid w:val="008C2998"/>
    <w:rsid w:val="008D04F5"/>
    <w:rsid w:val="008D1D68"/>
    <w:rsid w:val="008D648D"/>
    <w:rsid w:val="008E15E2"/>
    <w:rsid w:val="008E1686"/>
    <w:rsid w:val="008E31B1"/>
    <w:rsid w:val="008E426A"/>
    <w:rsid w:val="008E7623"/>
    <w:rsid w:val="008F2783"/>
    <w:rsid w:val="008F2DA5"/>
    <w:rsid w:val="008F5C91"/>
    <w:rsid w:val="008F737C"/>
    <w:rsid w:val="00900A4F"/>
    <w:rsid w:val="00904DC6"/>
    <w:rsid w:val="00906D0B"/>
    <w:rsid w:val="00910BCE"/>
    <w:rsid w:val="0091176B"/>
    <w:rsid w:val="0091214F"/>
    <w:rsid w:val="00912B31"/>
    <w:rsid w:val="00913414"/>
    <w:rsid w:val="00913E25"/>
    <w:rsid w:val="00920D7D"/>
    <w:rsid w:val="00921094"/>
    <w:rsid w:val="00922AE1"/>
    <w:rsid w:val="0092616E"/>
    <w:rsid w:val="00930A36"/>
    <w:rsid w:val="00935297"/>
    <w:rsid w:val="00935542"/>
    <w:rsid w:val="00941DE4"/>
    <w:rsid w:val="009451F6"/>
    <w:rsid w:val="00946089"/>
    <w:rsid w:val="0095107E"/>
    <w:rsid w:val="00951A61"/>
    <w:rsid w:val="0095291A"/>
    <w:rsid w:val="00952A3E"/>
    <w:rsid w:val="0095310C"/>
    <w:rsid w:val="00955D2E"/>
    <w:rsid w:val="0096048C"/>
    <w:rsid w:val="00960950"/>
    <w:rsid w:val="0096180B"/>
    <w:rsid w:val="009632B8"/>
    <w:rsid w:val="0096631E"/>
    <w:rsid w:val="0096734B"/>
    <w:rsid w:val="00972F91"/>
    <w:rsid w:val="009734F8"/>
    <w:rsid w:val="00973D00"/>
    <w:rsid w:val="009763F7"/>
    <w:rsid w:val="00976602"/>
    <w:rsid w:val="009801CE"/>
    <w:rsid w:val="009842EC"/>
    <w:rsid w:val="00984FC6"/>
    <w:rsid w:val="00985C94"/>
    <w:rsid w:val="00993349"/>
    <w:rsid w:val="009A21DD"/>
    <w:rsid w:val="009A48FB"/>
    <w:rsid w:val="009B3810"/>
    <w:rsid w:val="009B40AE"/>
    <w:rsid w:val="009B4945"/>
    <w:rsid w:val="009B5EAA"/>
    <w:rsid w:val="009C498F"/>
    <w:rsid w:val="009C593A"/>
    <w:rsid w:val="009C63F4"/>
    <w:rsid w:val="009D0453"/>
    <w:rsid w:val="009D0DC9"/>
    <w:rsid w:val="009D2D8E"/>
    <w:rsid w:val="009D3314"/>
    <w:rsid w:val="009D74AC"/>
    <w:rsid w:val="009E5453"/>
    <w:rsid w:val="009E5905"/>
    <w:rsid w:val="009F014F"/>
    <w:rsid w:val="009F11D8"/>
    <w:rsid w:val="009F78FF"/>
    <w:rsid w:val="00A06345"/>
    <w:rsid w:val="00A12212"/>
    <w:rsid w:val="00A15A1A"/>
    <w:rsid w:val="00A1798E"/>
    <w:rsid w:val="00A17D1D"/>
    <w:rsid w:val="00A21E1E"/>
    <w:rsid w:val="00A23EE0"/>
    <w:rsid w:val="00A24F79"/>
    <w:rsid w:val="00A362BD"/>
    <w:rsid w:val="00A37E28"/>
    <w:rsid w:val="00A43AFD"/>
    <w:rsid w:val="00A5091D"/>
    <w:rsid w:val="00A526E4"/>
    <w:rsid w:val="00A55559"/>
    <w:rsid w:val="00A57B40"/>
    <w:rsid w:val="00A602EF"/>
    <w:rsid w:val="00A60A77"/>
    <w:rsid w:val="00A616AD"/>
    <w:rsid w:val="00A6340C"/>
    <w:rsid w:val="00A83123"/>
    <w:rsid w:val="00A84B3B"/>
    <w:rsid w:val="00A8539F"/>
    <w:rsid w:val="00A86EC7"/>
    <w:rsid w:val="00A90182"/>
    <w:rsid w:val="00A94CCB"/>
    <w:rsid w:val="00A9555F"/>
    <w:rsid w:val="00AA44F7"/>
    <w:rsid w:val="00AA7715"/>
    <w:rsid w:val="00AB053A"/>
    <w:rsid w:val="00AB2A41"/>
    <w:rsid w:val="00AB40C8"/>
    <w:rsid w:val="00AB57A3"/>
    <w:rsid w:val="00AC381F"/>
    <w:rsid w:val="00AC48C3"/>
    <w:rsid w:val="00AC572A"/>
    <w:rsid w:val="00AC69A0"/>
    <w:rsid w:val="00AC6DE3"/>
    <w:rsid w:val="00AD00C4"/>
    <w:rsid w:val="00AD0F41"/>
    <w:rsid w:val="00AD27C4"/>
    <w:rsid w:val="00AD54FD"/>
    <w:rsid w:val="00AD7CA3"/>
    <w:rsid w:val="00AE1299"/>
    <w:rsid w:val="00AE1327"/>
    <w:rsid w:val="00AE1A43"/>
    <w:rsid w:val="00AE1B44"/>
    <w:rsid w:val="00AE2EA4"/>
    <w:rsid w:val="00AE4E3B"/>
    <w:rsid w:val="00AE5538"/>
    <w:rsid w:val="00AF4745"/>
    <w:rsid w:val="00AF76AF"/>
    <w:rsid w:val="00B000C3"/>
    <w:rsid w:val="00B01C7A"/>
    <w:rsid w:val="00B20A2B"/>
    <w:rsid w:val="00B21313"/>
    <w:rsid w:val="00B2434F"/>
    <w:rsid w:val="00B262F1"/>
    <w:rsid w:val="00B274FC"/>
    <w:rsid w:val="00B33EE9"/>
    <w:rsid w:val="00B37B1E"/>
    <w:rsid w:val="00B47ABC"/>
    <w:rsid w:val="00B50ED0"/>
    <w:rsid w:val="00B56AEE"/>
    <w:rsid w:val="00B5779C"/>
    <w:rsid w:val="00B607CE"/>
    <w:rsid w:val="00B60840"/>
    <w:rsid w:val="00B627DA"/>
    <w:rsid w:val="00B76ABC"/>
    <w:rsid w:val="00B77287"/>
    <w:rsid w:val="00B86CC0"/>
    <w:rsid w:val="00B86D0E"/>
    <w:rsid w:val="00B9004E"/>
    <w:rsid w:val="00B94661"/>
    <w:rsid w:val="00B96F70"/>
    <w:rsid w:val="00B97F7A"/>
    <w:rsid w:val="00BC0ADE"/>
    <w:rsid w:val="00BD1087"/>
    <w:rsid w:val="00BD5758"/>
    <w:rsid w:val="00BD6C84"/>
    <w:rsid w:val="00BE067E"/>
    <w:rsid w:val="00BE5431"/>
    <w:rsid w:val="00BF11B9"/>
    <w:rsid w:val="00BF3767"/>
    <w:rsid w:val="00BF4541"/>
    <w:rsid w:val="00BF5CDA"/>
    <w:rsid w:val="00C0026C"/>
    <w:rsid w:val="00C02CE8"/>
    <w:rsid w:val="00C03768"/>
    <w:rsid w:val="00C03F38"/>
    <w:rsid w:val="00C042ED"/>
    <w:rsid w:val="00C04D94"/>
    <w:rsid w:val="00C04E35"/>
    <w:rsid w:val="00C05332"/>
    <w:rsid w:val="00C10DED"/>
    <w:rsid w:val="00C12211"/>
    <w:rsid w:val="00C140AD"/>
    <w:rsid w:val="00C15F1E"/>
    <w:rsid w:val="00C16C92"/>
    <w:rsid w:val="00C2441C"/>
    <w:rsid w:val="00C24CBF"/>
    <w:rsid w:val="00C2635E"/>
    <w:rsid w:val="00C4163D"/>
    <w:rsid w:val="00C4679E"/>
    <w:rsid w:val="00C522A0"/>
    <w:rsid w:val="00C55BB2"/>
    <w:rsid w:val="00C569B9"/>
    <w:rsid w:val="00C60237"/>
    <w:rsid w:val="00C6093B"/>
    <w:rsid w:val="00C61BB4"/>
    <w:rsid w:val="00C63240"/>
    <w:rsid w:val="00C7103E"/>
    <w:rsid w:val="00C816B2"/>
    <w:rsid w:val="00C82AC4"/>
    <w:rsid w:val="00C841A2"/>
    <w:rsid w:val="00C87341"/>
    <w:rsid w:val="00C90929"/>
    <w:rsid w:val="00C94C10"/>
    <w:rsid w:val="00C95E05"/>
    <w:rsid w:val="00C9652B"/>
    <w:rsid w:val="00CA388F"/>
    <w:rsid w:val="00CA44CA"/>
    <w:rsid w:val="00CB1B89"/>
    <w:rsid w:val="00CB1CFD"/>
    <w:rsid w:val="00CB5C37"/>
    <w:rsid w:val="00CC1E35"/>
    <w:rsid w:val="00CC3B7F"/>
    <w:rsid w:val="00CC5E06"/>
    <w:rsid w:val="00CC795A"/>
    <w:rsid w:val="00CD450C"/>
    <w:rsid w:val="00CE65D9"/>
    <w:rsid w:val="00CF14EB"/>
    <w:rsid w:val="00CF2492"/>
    <w:rsid w:val="00CF3BE6"/>
    <w:rsid w:val="00D019A6"/>
    <w:rsid w:val="00D03CC1"/>
    <w:rsid w:val="00D0436A"/>
    <w:rsid w:val="00D1480A"/>
    <w:rsid w:val="00D149B3"/>
    <w:rsid w:val="00D16622"/>
    <w:rsid w:val="00D24E30"/>
    <w:rsid w:val="00D3049A"/>
    <w:rsid w:val="00D3054E"/>
    <w:rsid w:val="00D378CC"/>
    <w:rsid w:val="00D4068C"/>
    <w:rsid w:val="00D41182"/>
    <w:rsid w:val="00D43EB7"/>
    <w:rsid w:val="00D45339"/>
    <w:rsid w:val="00D45657"/>
    <w:rsid w:val="00D50DF1"/>
    <w:rsid w:val="00D5176A"/>
    <w:rsid w:val="00D51CE0"/>
    <w:rsid w:val="00D635C0"/>
    <w:rsid w:val="00D647A5"/>
    <w:rsid w:val="00D671C8"/>
    <w:rsid w:val="00D67264"/>
    <w:rsid w:val="00D6771C"/>
    <w:rsid w:val="00D74494"/>
    <w:rsid w:val="00D77BF6"/>
    <w:rsid w:val="00D92263"/>
    <w:rsid w:val="00D96754"/>
    <w:rsid w:val="00DA2411"/>
    <w:rsid w:val="00DA74BC"/>
    <w:rsid w:val="00DB0770"/>
    <w:rsid w:val="00DB453A"/>
    <w:rsid w:val="00DC079F"/>
    <w:rsid w:val="00DC2467"/>
    <w:rsid w:val="00DD1204"/>
    <w:rsid w:val="00DD20C2"/>
    <w:rsid w:val="00DD6E88"/>
    <w:rsid w:val="00DE119E"/>
    <w:rsid w:val="00DF30B7"/>
    <w:rsid w:val="00DF6F70"/>
    <w:rsid w:val="00DF7900"/>
    <w:rsid w:val="00E00A02"/>
    <w:rsid w:val="00E0151D"/>
    <w:rsid w:val="00E04242"/>
    <w:rsid w:val="00E04536"/>
    <w:rsid w:val="00E07ADA"/>
    <w:rsid w:val="00E13A24"/>
    <w:rsid w:val="00E15502"/>
    <w:rsid w:val="00E2091E"/>
    <w:rsid w:val="00E2367C"/>
    <w:rsid w:val="00E25B07"/>
    <w:rsid w:val="00E272E7"/>
    <w:rsid w:val="00E2737E"/>
    <w:rsid w:val="00E3210C"/>
    <w:rsid w:val="00E35CBC"/>
    <w:rsid w:val="00E37294"/>
    <w:rsid w:val="00E37815"/>
    <w:rsid w:val="00E37BD7"/>
    <w:rsid w:val="00E422B5"/>
    <w:rsid w:val="00E42F86"/>
    <w:rsid w:val="00E46E21"/>
    <w:rsid w:val="00E52F2A"/>
    <w:rsid w:val="00E54494"/>
    <w:rsid w:val="00E5508F"/>
    <w:rsid w:val="00E5526E"/>
    <w:rsid w:val="00E60026"/>
    <w:rsid w:val="00E6086A"/>
    <w:rsid w:val="00E64BBB"/>
    <w:rsid w:val="00E725A8"/>
    <w:rsid w:val="00E72760"/>
    <w:rsid w:val="00E72FFB"/>
    <w:rsid w:val="00E74403"/>
    <w:rsid w:val="00E748C4"/>
    <w:rsid w:val="00E76C0A"/>
    <w:rsid w:val="00E774DF"/>
    <w:rsid w:val="00E837B8"/>
    <w:rsid w:val="00E839A3"/>
    <w:rsid w:val="00E90C2A"/>
    <w:rsid w:val="00E92C8B"/>
    <w:rsid w:val="00EA2154"/>
    <w:rsid w:val="00EA42C7"/>
    <w:rsid w:val="00EA4B29"/>
    <w:rsid w:val="00EA5B93"/>
    <w:rsid w:val="00EA756E"/>
    <w:rsid w:val="00EB10B4"/>
    <w:rsid w:val="00EB27EE"/>
    <w:rsid w:val="00EB42A7"/>
    <w:rsid w:val="00EC593F"/>
    <w:rsid w:val="00EC7664"/>
    <w:rsid w:val="00ED2E3E"/>
    <w:rsid w:val="00ED30E2"/>
    <w:rsid w:val="00ED47CC"/>
    <w:rsid w:val="00ED48C9"/>
    <w:rsid w:val="00ED5715"/>
    <w:rsid w:val="00EE41F8"/>
    <w:rsid w:val="00EF3489"/>
    <w:rsid w:val="00EF3B18"/>
    <w:rsid w:val="00EF5A43"/>
    <w:rsid w:val="00EF649D"/>
    <w:rsid w:val="00F011AD"/>
    <w:rsid w:val="00F016E6"/>
    <w:rsid w:val="00F022B4"/>
    <w:rsid w:val="00F06F83"/>
    <w:rsid w:val="00F10D94"/>
    <w:rsid w:val="00F117A4"/>
    <w:rsid w:val="00F1244B"/>
    <w:rsid w:val="00F144BF"/>
    <w:rsid w:val="00F14CB7"/>
    <w:rsid w:val="00F22A60"/>
    <w:rsid w:val="00F23291"/>
    <w:rsid w:val="00F23991"/>
    <w:rsid w:val="00F2692B"/>
    <w:rsid w:val="00F33D9A"/>
    <w:rsid w:val="00F3567B"/>
    <w:rsid w:val="00F37CCB"/>
    <w:rsid w:val="00F41DDD"/>
    <w:rsid w:val="00F41ECE"/>
    <w:rsid w:val="00F41FD7"/>
    <w:rsid w:val="00F42A02"/>
    <w:rsid w:val="00F4349A"/>
    <w:rsid w:val="00F4376B"/>
    <w:rsid w:val="00F46B16"/>
    <w:rsid w:val="00F4730D"/>
    <w:rsid w:val="00F47F94"/>
    <w:rsid w:val="00F50D78"/>
    <w:rsid w:val="00F53A7D"/>
    <w:rsid w:val="00F53CAD"/>
    <w:rsid w:val="00F64261"/>
    <w:rsid w:val="00F6504C"/>
    <w:rsid w:val="00F65D23"/>
    <w:rsid w:val="00F677FF"/>
    <w:rsid w:val="00F72D5A"/>
    <w:rsid w:val="00F7528E"/>
    <w:rsid w:val="00F772AE"/>
    <w:rsid w:val="00F85792"/>
    <w:rsid w:val="00F8582B"/>
    <w:rsid w:val="00F875C3"/>
    <w:rsid w:val="00F95D09"/>
    <w:rsid w:val="00F97D73"/>
    <w:rsid w:val="00FA1356"/>
    <w:rsid w:val="00FA4FB3"/>
    <w:rsid w:val="00FA5264"/>
    <w:rsid w:val="00FA559E"/>
    <w:rsid w:val="00FA5FC5"/>
    <w:rsid w:val="00FC5000"/>
    <w:rsid w:val="00FC57FB"/>
    <w:rsid w:val="00FC6BD0"/>
    <w:rsid w:val="00FE2238"/>
    <w:rsid w:val="00FE3A20"/>
    <w:rsid w:val="00FE5E7D"/>
    <w:rsid w:val="00FE622D"/>
    <w:rsid w:val="00FE751C"/>
    <w:rsid w:val="00FF0175"/>
    <w:rsid w:val="00FF1682"/>
    <w:rsid w:val="00FF281A"/>
    <w:rsid w:val="00F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D1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04E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3D00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74C1"/>
    <w:pPr>
      <w:keepNext/>
      <w:keepLines/>
      <w:spacing w:before="200" w:after="0"/>
      <w:jc w:val="center"/>
      <w:outlineLvl w:val="1"/>
    </w:pPr>
    <w:rPr>
      <w:rFonts w:asciiTheme="minorHAnsi" w:eastAsiaTheme="majorEastAsia" w:hAnsiTheme="minorHAnsi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F50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04E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0874C1"/>
    <w:rPr>
      <w:rFonts w:eastAsiaTheme="majorEastAsia" w:cstheme="majorBidi"/>
      <w:bCs/>
      <w:color w:val="000000" w:themeColor="text1"/>
      <w:szCs w:val="26"/>
    </w:rPr>
  </w:style>
  <w:style w:type="paragraph" w:customStyle="1" w:styleId="Default">
    <w:name w:val="Default"/>
    <w:rsid w:val="00E42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94E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1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1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1B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1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1B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B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4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536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73D00"/>
    <w:rPr>
      <w:rFonts w:asciiTheme="majorHAnsi" w:eastAsiaTheme="majorEastAsia" w:hAnsiTheme="majorHAnsi" w:cstheme="majorBidi"/>
      <w:bCs/>
      <w:sz w:val="26"/>
      <w:szCs w:val="28"/>
    </w:rPr>
  </w:style>
  <w:style w:type="character" w:styleId="Hyperlink">
    <w:name w:val="Hyperlink"/>
    <w:basedOn w:val="DefaultParagraphFont"/>
    <w:uiPriority w:val="99"/>
    <w:unhideWhenUsed/>
    <w:rsid w:val="00973D0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73D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3D0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ußnotenzeichen3,Footnote symbol,Footnote reference number,C,Footnote Reference Num"/>
    <w:basedOn w:val="DefaultParagraphFont"/>
    <w:uiPriority w:val="99"/>
    <w:unhideWhenUsed/>
    <w:rsid w:val="00973D0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973D00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3D00"/>
    <w:pPr>
      <w:tabs>
        <w:tab w:val="right" w:leader="dot" w:pos="9617"/>
      </w:tabs>
      <w:spacing w:after="100"/>
    </w:pPr>
    <w:rPr>
      <w:rFonts w:asciiTheme="minorHAnsi" w:eastAsiaTheme="minorHAnsi" w:hAnsiTheme="minorHAnsi" w:cstheme="minorBidi"/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973D00"/>
    <w:pPr>
      <w:tabs>
        <w:tab w:val="right" w:leader="dot" w:pos="9617"/>
      </w:tabs>
      <w:spacing w:after="100"/>
      <w:ind w:left="220"/>
    </w:pPr>
    <w:rPr>
      <w:rFonts w:asciiTheme="minorHAnsi" w:eastAsiaTheme="minorHAnsi" w:hAnsiTheme="minorHAnsi" w:cstheme="minorBidi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973D00"/>
    <w:pPr>
      <w:spacing w:after="100"/>
      <w:ind w:left="440"/>
    </w:pPr>
    <w:rPr>
      <w:rFonts w:asciiTheme="minorHAnsi" w:eastAsiaTheme="minorEastAsia" w:hAnsiTheme="minorHAnsi" w:cstheme="minorBidi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973D00"/>
    <w:pPr>
      <w:spacing w:after="100"/>
      <w:ind w:left="660"/>
    </w:pPr>
    <w:rPr>
      <w:rFonts w:asciiTheme="minorHAnsi" w:eastAsiaTheme="minorEastAsia" w:hAnsiTheme="minorHAnsi" w:cstheme="minorBidi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973D00"/>
    <w:pPr>
      <w:spacing w:after="100"/>
      <w:ind w:left="880"/>
    </w:pPr>
    <w:rPr>
      <w:rFonts w:asciiTheme="minorHAnsi" w:eastAsiaTheme="minorEastAsia" w:hAnsiTheme="minorHAnsi" w:cstheme="minorBidi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973D00"/>
    <w:pPr>
      <w:spacing w:after="100"/>
      <w:ind w:left="1100"/>
    </w:pPr>
    <w:rPr>
      <w:rFonts w:asciiTheme="minorHAnsi" w:eastAsiaTheme="minorEastAsia" w:hAnsiTheme="minorHAnsi" w:cstheme="minorBidi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973D00"/>
    <w:pPr>
      <w:spacing w:after="100"/>
      <w:ind w:left="1320"/>
    </w:pPr>
    <w:rPr>
      <w:rFonts w:asciiTheme="minorHAnsi" w:eastAsiaTheme="minorEastAsia" w:hAnsiTheme="minorHAnsi" w:cstheme="minorBidi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973D00"/>
    <w:pPr>
      <w:spacing w:after="100"/>
      <w:ind w:left="1540"/>
    </w:pPr>
    <w:rPr>
      <w:rFonts w:asciiTheme="minorHAnsi" w:eastAsiaTheme="minorEastAsia" w:hAnsiTheme="minorHAnsi" w:cstheme="minorBidi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973D00"/>
    <w:pPr>
      <w:spacing w:after="100"/>
      <w:ind w:left="1760"/>
    </w:pPr>
    <w:rPr>
      <w:rFonts w:asciiTheme="minorHAnsi" w:eastAsiaTheme="minorEastAsia" w:hAnsiTheme="minorHAnsi" w:cstheme="minorBidi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973D00"/>
  </w:style>
  <w:style w:type="character" w:styleId="FollowedHyperlink">
    <w:name w:val="FollowedHyperlink"/>
    <w:basedOn w:val="DefaultParagraphFont"/>
    <w:uiPriority w:val="99"/>
    <w:semiHidden/>
    <w:unhideWhenUsed/>
    <w:rsid w:val="00973D00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973D0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973D00"/>
    <w:pPr>
      <w:spacing w:after="0" w:line="240" w:lineRule="auto"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73D00"/>
    <w:rPr>
      <w:rFonts w:ascii="Calibri" w:eastAsia="Calibri" w:hAnsi="Calibri" w:cs="Times New Roman"/>
    </w:rPr>
  </w:style>
  <w:style w:type="character" w:customStyle="1" w:styleId="tekst1">
    <w:name w:val="tekst1"/>
    <w:rsid w:val="00973D00"/>
    <w:rPr>
      <w:rFonts w:ascii="Arial" w:hAnsi="Arial" w:cs="Arial" w:hint="default"/>
      <w:color w:val="000000"/>
      <w:sz w:val="18"/>
      <w:szCs w:val="18"/>
    </w:rPr>
  </w:style>
  <w:style w:type="table" w:styleId="TableGrid">
    <w:name w:val="Table Grid"/>
    <w:basedOn w:val="TableNormal"/>
    <w:uiPriority w:val="59"/>
    <w:rsid w:val="00973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tat.gov.rs/sr-Latn/oblasti/stanovnistvo/procene-stanovnistva" TargetMode="External"/><Relationship Id="rId2" Type="http://schemas.openxmlformats.org/officeDocument/2006/relationships/hyperlink" Target="https://nbs.rs/sr_RS/ciljevi-i-funkcije/platni-sistem/statistika/" TargetMode="External"/><Relationship Id="rId1" Type="http://schemas.openxmlformats.org/officeDocument/2006/relationships/hyperlink" Target="https://www.hnb.hr/analize-i-publikacije/redovne-publikacije/platne-kartice-i-karticne-transakcij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6E242-061D-4CFC-A5D4-56CC13ED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12611</Words>
  <Characters>71887</Characters>
  <Application>Microsoft Office Word</Application>
  <DocSecurity>0</DocSecurity>
  <Lines>599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2022-02-15T07:15:00Z</dcterms:created>
  <dcterms:modified xsi:type="dcterms:W3CDTF">2022-03-28T12:44:00Z</dcterms:modified>
</cp:coreProperties>
</file>