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E4BA" w14:textId="356B51E6" w:rsidR="00872071" w:rsidRPr="00D90D08" w:rsidRDefault="006A4888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REPUBLIKA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SRPSKA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                                                                         </w:t>
      </w:r>
    </w:p>
    <w:p w14:paraId="45BE955A" w14:textId="2E608929" w:rsidR="00872071" w:rsidRPr="00D90D08" w:rsidRDefault="006A4888" w:rsidP="0087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VLADA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74792F" w14:textId="77777777" w:rsidR="00872071" w:rsidRPr="00D90D08" w:rsidRDefault="00872071" w:rsidP="0087207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</w:p>
    <w:p w14:paraId="410AE1BF" w14:textId="77777777" w:rsidR="00D90D08" w:rsidRDefault="00872071" w:rsidP="0087207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                                                                        </w:t>
      </w:r>
      <w:r w:rsidR="00FA07F9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</w:t>
      </w:r>
      <w:r w:rsidR="00D90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59D198" w14:textId="6A7B14F9" w:rsidR="00FA07F9" w:rsidRPr="00D90D08" w:rsidRDefault="00D90D08" w:rsidP="0087207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A48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PRIJEDLOG</w:t>
      </w:r>
      <w:r w:rsidR="00FA07F9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14:paraId="56CAA609" w14:textId="64066954" w:rsidR="00872071" w:rsidRPr="00D90D08" w:rsidRDefault="00FA07F9" w:rsidP="0087207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                                             </w:t>
      </w:r>
      <w:r w:rsidR="00D90D0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                         (</w:t>
      </w:r>
      <w:r w:rsidR="006A48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po</w:t>
      </w: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hitnom</w:t>
      </w: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postupku</w:t>
      </w: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)</w:t>
      </w:r>
    </w:p>
    <w:p w14:paraId="37507DD0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25F76689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1F2564AC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7893D839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5ADAF652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1D288C1F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37943D0E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4CF719FA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3EAC6822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7723B1CC" w14:textId="77777777" w:rsidR="00872071" w:rsidRPr="00D90D08" w:rsidRDefault="00872071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2F68C9F5" w14:textId="42565117" w:rsidR="00872071" w:rsidRPr="00D90D08" w:rsidRDefault="006A4888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ZAKON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14:paraId="621896BE" w14:textId="1D47F005" w:rsidR="00872071" w:rsidRPr="00D90D08" w:rsidRDefault="006A4888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O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IZMJENAMA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DOPUNAMA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ZAKONA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14:paraId="645BCF96" w14:textId="1E789369" w:rsidR="00872071" w:rsidRPr="00D90D08" w:rsidRDefault="006A4888" w:rsidP="0087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O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FONDU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FINANSIRAN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U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ZAŠTITE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ŽIVOTNE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SREDINE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REPUBLIKE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SRPSKE</w:t>
      </w:r>
    </w:p>
    <w:p w14:paraId="3137A228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3E54AB41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513AA478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51C470DA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782A2C31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04EE3B35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426206D8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45AD54D9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259CF482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115CD361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3125F3E6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180A9938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69A4CAF0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720A51F8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10F78FCE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04549D4B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3D22F65A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0151A5B4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14:paraId="344E970D" w14:textId="77777777" w:rsidR="00872071" w:rsidRPr="00D90D08" w:rsidRDefault="00872071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14:paraId="5DB5CDA1" w14:textId="06E6812F" w:rsidR="00872071" w:rsidRPr="00D90D08" w:rsidRDefault="006A4888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Banja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Luka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decembar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57702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2022</w:t>
      </w:r>
      <w:r w:rsidR="00872071" w:rsidRPr="00D90D0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godine</w:t>
      </w:r>
    </w:p>
    <w:p w14:paraId="229E7A99" w14:textId="77777777" w:rsidR="00D121B9" w:rsidRPr="00D90D08" w:rsidRDefault="00D121B9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14:paraId="34D202A5" w14:textId="77777777" w:rsidR="00D121B9" w:rsidRPr="00D90D08" w:rsidRDefault="00D121B9" w:rsidP="00872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14:paraId="77BC3D38" w14:textId="6103E5E2" w:rsidR="00FA07F9" w:rsidRPr="00D90D08" w:rsidRDefault="00FA07F9" w:rsidP="00FA07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</w:t>
      </w:r>
      <w:r w:rsidR="00935C1F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E71727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PRIJEDLOG</w:t>
      </w:r>
    </w:p>
    <w:p w14:paraId="0B857FEA" w14:textId="58DB4F52" w:rsidR="007D7A52" w:rsidRPr="00D90D08" w:rsidRDefault="00FA07F9" w:rsidP="008720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(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hitnom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postupku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</w:t>
      </w:r>
    </w:p>
    <w:p w14:paraId="1B88DD25" w14:textId="77777777" w:rsidR="001F590C" w:rsidRPr="00D90D08" w:rsidRDefault="001F590C" w:rsidP="008720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14:paraId="6C98A390" w14:textId="77777777" w:rsidR="00872071" w:rsidRPr="00D90D08" w:rsidRDefault="00872071" w:rsidP="008720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                                      </w:t>
      </w:r>
    </w:p>
    <w:p w14:paraId="36C7C453" w14:textId="265B8AE8" w:rsidR="00872071" w:rsidRPr="00D90D08" w:rsidRDefault="00213E42" w:rsidP="00213E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ZAKON</w:t>
      </w:r>
    </w:p>
    <w:p w14:paraId="28C3651E" w14:textId="55C569D4" w:rsidR="00872071" w:rsidRPr="00D90D08" w:rsidRDefault="006A4888" w:rsidP="008720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IZMJENAMA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DOPUNAMA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ZAKONA</w:t>
      </w:r>
    </w:p>
    <w:p w14:paraId="6B0AF5E1" w14:textId="4EA91AF4" w:rsidR="00872071" w:rsidRPr="00D90D08" w:rsidRDefault="006A4888" w:rsidP="008720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FONDU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ZAŠTITE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ŽIVOTNE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SREDINE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REPUBLIKE</w:t>
      </w:r>
      <w:r w:rsidR="00872071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SRPSKE</w:t>
      </w:r>
    </w:p>
    <w:p w14:paraId="1E87AB9B" w14:textId="77777777" w:rsidR="00872071" w:rsidRPr="00D90D08" w:rsidRDefault="00872071" w:rsidP="00872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5CF1E51" w14:textId="091947FA" w:rsidR="00872071" w:rsidRPr="00D90D08" w:rsidRDefault="006A4888" w:rsidP="005F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</w:t>
      </w:r>
    </w:p>
    <w:p w14:paraId="05CAEE6F" w14:textId="77777777" w:rsidR="00872071" w:rsidRPr="00D90D08" w:rsidRDefault="00872071" w:rsidP="008720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529C61B" w14:textId="33F99F62" w:rsidR="00F871BC" w:rsidRPr="00D90D08" w:rsidRDefault="006A4888" w:rsidP="00CE1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Zakonu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fondu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finansiranju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Službeni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glasnik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 117/11, 63/14, 84/15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Odluka</w:t>
      </w:r>
      <w:r w:rsidR="00F54E9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Ustavnog</w:t>
      </w:r>
      <w:r w:rsidR="00F54E9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suda</w:t>
      </w:r>
      <w:r w:rsidR="00F54E9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F54E9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90/16),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CE16C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tački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đ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510E4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E27CA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E27CA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briše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dodaje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zapeta</w:t>
      </w:r>
      <w:r w:rsidR="00F871B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3EA1D2F9" w14:textId="536AC390" w:rsidR="00CE16C2" w:rsidRPr="00D90D08" w:rsidRDefault="006A4888" w:rsidP="00CE1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đ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dodaje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nova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FD4BB9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CE16C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</w:p>
    <w:p w14:paraId="61277A24" w14:textId="41D8BF20" w:rsidR="00CE16C2" w:rsidRPr="00D90D08" w:rsidRDefault="00CE16C2" w:rsidP="00CE1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pružanje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finansijskih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usluga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obavljanje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finansijskih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djelatnosti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podsticanjem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finansiranjem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6F760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956B9F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CB5167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“.</w:t>
      </w:r>
    </w:p>
    <w:p w14:paraId="42858F32" w14:textId="45B2ABDF" w:rsidR="00872071" w:rsidRPr="00D90D08" w:rsidRDefault="006A4888" w:rsidP="00CE1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postaje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</w:t>
      </w:r>
      <w:r w:rsidR="00CE16C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8D33C05" w14:textId="77777777" w:rsidR="00872071" w:rsidRPr="00D90D08" w:rsidRDefault="00872071" w:rsidP="0087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AB250E6" w14:textId="3D50993B" w:rsidR="00872071" w:rsidRPr="00D90D08" w:rsidRDefault="00FD4BB9" w:rsidP="00F0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8720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</w:t>
      </w:r>
    </w:p>
    <w:p w14:paraId="25D67387" w14:textId="77777777" w:rsidR="00F04182" w:rsidRPr="00D90D08" w:rsidRDefault="00F04182" w:rsidP="00F0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F1AD225" w14:textId="0FE63082" w:rsidR="005B3C34" w:rsidRPr="00D90D08" w:rsidRDefault="006A4888" w:rsidP="00F0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zapeta</w:t>
      </w:r>
      <w:r w:rsidR="00A90780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A90780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D72F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donose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decembra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tekuće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narednu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kalendarsku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brišu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32FC8F96" w14:textId="7AF7A420" w:rsidR="005B3C34" w:rsidRPr="00D90D08" w:rsidRDefault="006A4888" w:rsidP="00F0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  <w:r w:rsidR="004211C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zapeta</w:t>
      </w:r>
      <w:r w:rsidR="004211C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4211C3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FD4BB9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marta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tekuće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proteklu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brišu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5B3C34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E1D4589" w14:textId="2A015E02" w:rsidR="005B3C34" w:rsidRPr="00D90D08" w:rsidRDefault="006A4888" w:rsidP="00F0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F95D9C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C336AB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336AB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336AB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D72F71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64015CA7" w14:textId="710221D9" w:rsidR="00872071" w:rsidRPr="00D90D08" w:rsidRDefault="005B3C34" w:rsidP="00F0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„(9)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redovno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podnosi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polugodišnji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svom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Vladi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“</w:t>
      </w:r>
    </w:p>
    <w:p w14:paraId="234C623D" w14:textId="77777777" w:rsidR="00631CC3" w:rsidRPr="00D90D08" w:rsidRDefault="00631CC3" w:rsidP="00C336A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4618365" w14:textId="6D4E41AE" w:rsidR="00F04182" w:rsidRPr="00D90D08" w:rsidRDefault="006A4888" w:rsidP="00C336A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04182" w:rsidRPr="00D90D08">
        <w:rPr>
          <w:rFonts w:ascii="Times New Roman" w:hAnsi="Times New Roman" w:cs="Times New Roman"/>
          <w:sz w:val="24"/>
          <w:szCs w:val="24"/>
          <w:lang w:val="sr-Cyrl-BA"/>
        </w:rPr>
        <w:t xml:space="preserve"> 3.</w:t>
      </w:r>
    </w:p>
    <w:p w14:paraId="6BFA8D3C" w14:textId="0A5C476A" w:rsidR="00F04182" w:rsidRPr="00D90D08" w:rsidRDefault="00800ECB" w:rsidP="007D7A52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Ovaj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zakon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stupa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snagu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osmog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dana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objavljivanja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„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Službenom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glasniku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F04182" w:rsidRPr="00D90D08">
        <w:rPr>
          <w:rFonts w:ascii="Times New Roman" w:eastAsia="Calibri" w:hAnsi="Times New Roman" w:cs="Times New Roman"/>
          <w:sz w:val="24"/>
          <w:szCs w:val="24"/>
          <w:lang w:val="sr-Cyrl-BA"/>
        </w:rPr>
        <w:t>“.</w:t>
      </w:r>
    </w:p>
    <w:p w14:paraId="060924F2" w14:textId="77777777" w:rsidR="00F04182" w:rsidRPr="00D90D08" w:rsidRDefault="00F04182" w:rsidP="00F04182">
      <w:pPr>
        <w:autoSpaceDE w:val="0"/>
        <w:autoSpaceDN w:val="0"/>
        <w:adjustRightInd w:val="0"/>
        <w:spacing w:after="0" w:line="240" w:lineRule="auto"/>
        <w:ind w:right="47"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7DB0BFE" w14:textId="77777777" w:rsidR="00F04182" w:rsidRPr="00D90D08" w:rsidRDefault="00F04182" w:rsidP="00FA07F9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1967CBF8" w14:textId="77777777" w:rsidR="00F04182" w:rsidRPr="00D90D08" w:rsidRDefault="00F04182" w:rsidP="00F0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E08A184" w14:textId="3F683D3C" w:rsidR="00F04182" w:rsidRPr="00D90D08" w:rsidRDefault="006A4888" w:rsidP="00F04182">
      <w:pPr>
        <w:tabs>
          <w:tab w:val="center" w:pos="756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Broj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PREDSJEDNIK</w:t>
      </w:r>
    </w:p>
    <w:p w14:paraId="6C29162C" w14:textId="6C63CE4E" w:rsidR="00F04182" w:rsidRPr="00D90D08" w:rsidRDefault="006A4888" w:rsidP="00F04182">
      <w:pPr>
        <w:tabs>
          <w:tab w:val="center" w:pos="756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Datum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NARODNE</w:t>
      </w:r>
      <w:r w:rsidR="00F0418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SKUPŠTINE</w:t>
      </w:r>
    </w:p>
    <w:p w14:paraId="7F449249" w14:textId="77777777" w:rsidR="00057702" w:rsidRPr="00D90D08" w:rsidRDefault="00057702" w:rsidP="00F041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4AD07EA" w14:textId="77777777" w:rsidR="00057702" w:rsidRPr="00D90D08" w:rsidRDefault="00F04182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14:paraId="7D154630" w14:textId="487BEA7E" w:rsidR="003C5D13" w:rsidRDefault="00142411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lang w:val="sr-Cyrl-BA"/>
        </w:rPr>
        <w:tab/>
      </w:r>
      <w:r w:rsidR="006A4888">
        <w:rPr>
          <w:rFonts w:ascii="Times New Roman" w:hAnsi="Times New Roman" w:cs="Times New Roman"/>
          <w:sz w:val="24"/>
          <w:szCs w:val="24"/>
          <w:lang w:val="sr-Cyrl-BA"/>
        </w:rPr>
        <w:t>Nenad</w:t>
      </w:r>
      <w:r w:rsidRPr="0014241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/>
        </w:rPr>
        <w:t>Stevandić</w:t>
      </w:r>
    </w:p>
    <w:p w14:paraId="54DFB42C" w14:textId="250FD201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AF837EB" w14:textId="4F861E1E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3E4687" w14:textId="77777777" w:rsidR="006A4888" w:rsidRPr="00142411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CF6D6D9" w14:textId="77777777" w:rsidR="00D90D08" w:rsidRDefault="00D90D08" w:rsidP="00F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3432A9C2" w14:textId="26A35CE6" w:rsidR="00FA07F9" w:rsidRPr="00D90D08" w:rsidRDefault="006A4888" w:rsidP="00F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lastRenderedPageBreak/>
        <w:t>OBRAZLOŽEN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</w:p>
    <w:p w14:paraId="16A736F2" w14:textId="1C6AF763" w:rsidR="00FA07F9" w:rsidRPr="00D90D08" w:rsidRDefault="006A4888" w:rsidP="00F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PRIJEDLOGA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IZMJENAMA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DOPUNAMA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</w:p>
    <w:p w14:paraId="27F38F9F" w14:textId="14DB1061" w:rsidR="00FA07F9" w:rsidRPr="00D90D08" w:rsidRDefault="006A4888" w:rsidP="00F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FONDU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FINANSIRAN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ZAŠTITE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ŽIVOTNE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SREDINE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REPUBLIKE</w:t>
      </w:r>
      <w:r w:rsidR="00FA07F9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SRPSKE</w:t>
      </w:r>
    </w:p>
    <w:p w14:paraId="45D998F5" w14:textId="77777777" w:rsidR="00FA07F9" w:rsidRPr="00D90D08" w:rsidRDefault="00FA07F9" w:rsidP="00F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47CDD2CF" w14:textId="4722BEA8" w:rsidR="00FA07F9" w:rsidRPr="00D90D08" w:rsidRDefault="00FA07F9" w:rsidP="00FA0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(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hitnom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postupku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</w:p>
    <w:p w14:paraId="3E1D26F1" w14:textId="77777777" w:rsidR="00FA07F9" w:rsidRPr="00D90D08" w:rsidRDefault="00FA07F9" w:rsidP="00FA07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14:paraId="7F6BB9EC" w14:textId="69F0FB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I 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USTAVNI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OSNOV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</w:p>
    <w:p w14:paraId="62C892C9" w14:textId="77777777" w:rsidR="00834FF5" w:rsidRPr="00D90D08" w:rsidRDefault="00834FF5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43B41331" w14:textId="02804F0D" w:rsidR="00834FF5" w:rsidRPr="00D90D08" w:rsidRDefault="006A4888" w:rsidP="00834FF5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Ustavni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osnov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sadržan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Amandmanu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XXXII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prema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kojem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uređuje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obezbjeđuje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zaštitu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životne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sredine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članu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70.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stav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kojim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utvrđeno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Narodna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skupština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donosi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opšte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akte</w:t>
      </w:r>
      <w:r w:rsidR="00834FF5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. </w:t>
      </w:r>
    </w:p>
    <w:p w14:paraId="6E512766" w14:textId="77777777" w:rsidR="00FA07F9" w:rsidRPr="00D90D08" w:rsidRDefault="00FA07F9" w:rsidP="00FA0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3A6163C6" w14:textId="131873B2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II 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USKLAĐENOST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USTAVOM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PRAVNIM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SISTEMOM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PRAVILIMA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NORMATIVNOPRAVNE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TEHNIKE</w:t>
      </w:r>
    </w:p>
    <w:p w14:paraId="453D762D" w14:textId="777777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28A40EA1" w14:textId="4FCEF435" w:rsidR="009C3BA0" w:rsidRPr="00D90D08" w:rsidRDefault="006A4888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Mišljenju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Republičkog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sekretarijata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zakonodavstvo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broj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: 22.02/020-3626/22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od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decembra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godine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ustavni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osnov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sadržan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sadržan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Amandmanu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XXXII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uređuje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obezbjeđuje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zaštitu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životne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sredine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70.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stav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kojim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utvrđeno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Narodna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skupština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donosi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opšte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akte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38D20F21" w14:textId="28040DAC" w:rsidR="009C3BA0" w:rsidRPr="00D90D08" w:rsidRDefault="006A4888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Izmjenama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dopunama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uređuju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odredbe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odnose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djelatnost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smislu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propisivanja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obaveze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pružanja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finansijskih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usluga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obavljanja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finansijskih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djelatnosti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vezi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podsticanjem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finansiranjem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zaštite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životne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sredine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energetske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efikasnosti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obnovljivih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izvora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energije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propisivanje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obaveze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Vladi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redovno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podnosi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polugodišnji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finansijski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izvještaj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6D9B3A41" w14:textId="4AED895A" w:rsidR="009C3BA0" w:rsidRPr="00D90D08" w:rsidRDefault="006A4888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Obrađivač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skladu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stav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. 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56.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Pravila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izradu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Službeni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glasnik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broj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24/14),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naveo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razloge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izmjena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dopuna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razloge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hitnom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postupku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vezi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tim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razlog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izmjena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dopuna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ovog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navodi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potreba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nastavka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realizacije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Projekta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Energetska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efikasnost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kako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zakonski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osnov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skladu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djelatnostima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obavlja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poslove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smislu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pružanja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finansijskih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usluga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obavljanja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finansijskih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djelatnosti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vezi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podsticanjem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finansiranjem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zaštite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životne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sredine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energetske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efikasnosti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obnovljivih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izvora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energije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realizuje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preporuka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uvođenja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obaveze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polugodišnjeg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izvještavanja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Vlade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7716C493" w14:textId="12FAC5F6" w:rsidR="009C3BA0" w:rsidRPr="00D90D08" w:rsidRDefault="009C3BA0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Obrazloženju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predloženog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obrađivač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skladu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članom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213.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Poslovnika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radu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Narodne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skupštine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Službeni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glasnik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broj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66/20),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obrazložio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razloge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donošenje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hitnom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postupku</w:t>
      </w:r>
      <w:r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3F802A12" w14:textId="33100440" w:rsidR="009C3BA0" w:rsidRDefault="006A4888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postupku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konsultacija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obrađivačem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predloženi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Republički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sekretarijat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zakonodavstvo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nije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imao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primjedaba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smislu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njegove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usaglašenosti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Ustavom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pravnim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sistemom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Pravilima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izradu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drugih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propisa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mišljenja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smo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izmj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dopunama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Fondu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finansiranju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zaštite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životne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sredine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Republike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Srpske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hitnom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postupku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može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uputiti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razmatranje</w:t>
      </w:r>
      <w:r w:rsidR="009C3BA0" w:rsidRPr="00D90D08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087FC8C5" w14:textId="77777777" w:rsidR="006A4888" w:rsidRPr="00D90D08" w:rsidRDefault="006A4888" w:rsidP="009C3BA0">
      <w:pPr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14:paraId="6A2A57C2" w14:textId="77777777" w:rsidR="009D2EA7" w:rsidRPr="00D90D08" w:rsidRDefault="009D2EA7" w:rsidP="0083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53A29029" w14:textId="590FE804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lastRenderedPageBreak/>
        <w:t>III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USKLAĐENOST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PRAVNIM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PORETKOM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EVROPSKE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UNIJE</w:t>
      </w:r>
    </w:p>
    <w:p w14:paraId="1E816118" w14:textId="777777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1735199B" w14:textId="433D26FA" w:rsidR="00D90D08" w:rsidRPr="00D90D08" w:rsidRDefault="00D90D08" w:rsidP="00D90D0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55173">
        <w:rPr>
          <w:rFonts w:cs="Calibri"/>
          <w:color w:val="000000" w:themeColor="text1"/>
          <w:sz w:val="24"/>
          <w:szCs w:val="24"/>
          <w:lang w:val="sr-Cyrl-CS"/>
        </w:rPr>
        <w:t xml:space="preserve">           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Prema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Mišljenju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Ministarstva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evropske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integracije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međunarodnu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saradnju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17.03-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>020-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3629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2 </w:t>
      </w:r>
      <w:r w:rsidR="006A4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8. </w:t>
      </w:r>
      <w:r w:rsidR="006A4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decembra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2022. </w:t>
      </w:r>
      <w:r w:rsidR="006A4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godine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nakon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uvida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propise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Evropske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unije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analize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Prijedloga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izmjenama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fondu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finansiranju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životne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sredine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Srpske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dalo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mišljenje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D90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kojem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navedeno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ustanovljeni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obavezujući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sekundarni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izvori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prava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relevantni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predmet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uređivanja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dostavljenog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prijedloga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Izjavi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usklađenosti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stoji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ocjena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6A48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Neprimjenjivo</w:t>
      </w:r>
      <w:r w:rsidRPr="00D90D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“.</w:t>
      </w:r>
    </w:p>
    <w:p w14:paraId="342381B2" w14:textId="777777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</w:p>
    <w:p w14:paraId="513366F3" w14:textId="79920C42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IV 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RAZLOZI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DONOŠEN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</w:p>
    <w:p w14:paraId="3C015796" w14:textId="77777777" w:rsidR="00C95DE3" w:rsidRPr="00D90D08" w:rsidRDefault="00C95DE3" w:rsidP="00C9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1A89F122" w14:textId="3B560BB4" w:rsidR="00E13500" w:rsidRPr="00D90D08" w:rsidRDefault="006A4888" w:rsidP="00E13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prostorno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uređenje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ekologiju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realizovalo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prvu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fazu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periodu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maja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novembra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Ovaj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kreditno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zaduženje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prema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Svjetskoj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banci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–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Međunarodnoj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asocijaciji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(IDA)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12.800.000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američkih</w:t>
      </w:r>
      <w:r w:rsidR="009539A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dolara</w:t>
      </w:r>
      <w:r w:rsidR="009539A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(USD)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ukupnog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Bosnu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Hercegovinu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32.000.000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američkih</w:t>
      </w:r>
      <w:r w:rsidR="009539A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dolara</w:t>
      </w:r>
      <w:r w:rsidR="009539A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(USD)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obzirom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ostvarene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odlične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rezultate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okviru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prve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faze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,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Svjetska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banka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odobrila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dodatno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Nastavak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kreditno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zaduženje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prema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Svjetskoj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banci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Međunarodnoj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banci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obnovu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(IBRD)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10.970.796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evra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(EUR)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62610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ukupnog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Bosnu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Hercegovinu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27.276.989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evra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(EUR)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postao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efektivan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martu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započela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njegova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Planirani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završetak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februar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Implementaciju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sprovodi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Jedinica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implementaciju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okviru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prostorno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uređenje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ekologiju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saradnji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Fondom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daljem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tekstu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Aktivnosti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okviru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proširenja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nastavljene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postojeće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komponente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uz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određene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cilj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povećanje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održivosti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revolving</w:t>
      </w:r>
      <w:proofErr w:type="spellEnd"/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modela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jačanje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kapaciteta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Cilj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pokažu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prednosti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poboljšanja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zgradama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sektora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podrška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izradu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prilagodljivih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modela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tim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treba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preuzme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obavljanja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realizacijom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nema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zakonski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osnov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djelatnostima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realizuje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preporuka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obaveze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polugodišnjeg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izvještavanja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radu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38F45E73" w14:textId="0FB3BDFF" w:rsidR="00995EBE" w:rsidRPr="00D90D08" w:rsidRDefault="006A4888" w:rsidP="001A1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potpisanim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Sporazumom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predfinasiranju</w:t>
      </w:r>
      <w:proofErr w:type="spellEnd"/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Mandatnim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pismom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između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prostorno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uređenje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ekologiju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Evropske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banke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obnovu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,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broj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2.01.1-2014/20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20.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novembra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2020.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podrazumijeva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aktivno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učešće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osnovu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EBRD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učestvuje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dugoročnog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obliku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komercijalnog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4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5</w:t>
      </w:r>
      <w:r w:rsidR="003C5D13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00.000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(EUR).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Sredstva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koristiti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unapređenje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69277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objekata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uključujući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građevinskih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radova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izrade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projektne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dokumentacije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nadzora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potrebnih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konsultantskih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EBRD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obezbijedio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investicioni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grant</w:t>
      </w:r>
      <w:proofErr w:type="spellEnd"/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0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00.000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(EUR)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Evropske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okviru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Regionalnog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lastRenderedPageBreak/>
        <w:t>programa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70516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70516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70516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59</w:t>
      </w:r>
      <w:r w:rsidR="0070516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0.000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evra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(EUR)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tehničku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pomoć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pripremu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ukupno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35%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grant</w:t>
      </w:r>
      <w:proofErr w:type="spellEnd"/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sredstva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iznos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kredita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podrazumijeva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unapređenje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javnim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objektima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Republici</w:t>
      </w:r>
      <w:r w:rsidR="0022605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Srpskoj</w:t>
      </w:r>
      <w:r w:rsidR="0022605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</w:t>
      </w:r>
      <w:r w:rsidR="0022605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svega</w:t>
      </w:r>
      <w:r w:rsidR="0022605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226054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objektima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oblasti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prosvjete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zdravstva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obuhvata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sljedećih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mjera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izolacija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zidova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zamjena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stolarije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bravarije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zamjena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krovnog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pokrivača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intervencije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sistemu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grijanja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rasvjete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sl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Očekivani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efekti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unapređenja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javnim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objektima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smanjenje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potrošnje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energije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ostvarenje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ušteda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budžetu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povećanje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komfora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objektima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smanjenje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emisija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štetnih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gasova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pokretanje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privredne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aktivnosti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sektoru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građevinarstva</w:t>
      </w:r>
      <w:r w:rsidR="00B932D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tim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EBRD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ugovorna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strana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traži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preuzme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poslove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obavljanja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drugih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realizacijom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995EBE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,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nema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zakonski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osnov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djelatnostima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sada</w:t>
      </w:r>
      <w:r w:rsidR="00AE0348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imao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realizuje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preporuka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obaveze</w:t>
      </w:r>
      <w:r w:rsidR="00CF359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polugodišnjeg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izvještavanja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11D824FE" w14:textId="1B0967CC" w:rsidR="001A123F" w:rsidRPr="00D90D08" w:rsidRDefault="006A4888" w:rsidP="001A1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Aktivnosti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sanacije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sistema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rasvjete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ESCO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mehanizmu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odabrane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jedinice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lokalne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samouprave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daljem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tekstu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JLS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Republici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Srpskoj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realizuju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saradnju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Ministarstvom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prostorno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uređenje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ekologiju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Razvojnim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programom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Ujedinjenih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nacija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UNDP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Pokretanje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svrhu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niskokarbonskog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urbanog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“ 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–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URBANLED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Globalni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odabranih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JLS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opština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gradova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Cilj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URBANLED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investiranje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pokretanje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koncepta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niskokarbonskog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urbanog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razvoja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engl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LCUD),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smanjenje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emisija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GHG,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povećanje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raznovrsnosti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obima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investicija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LCUD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uklanjanje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prepreka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kapaciteta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unapređenje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regulatorskih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okvira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itd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promovisanje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njihove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šire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upotrebe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strane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JLS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privatnog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sektora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jednu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svojih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komponenti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Projekat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bavi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uvođenjem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inovativnog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mehanizma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podržati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postepeni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pomak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pretežno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putem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grantova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niskokarbonske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ESCO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modela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subvencije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podrške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donacije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grantovi</w:t>
      </w:r>
      <w:proofErr w:type="spellEnd"/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koriste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rješavanje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specifičnih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strukturnih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tehničkih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prepreka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Kroz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projektne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komponente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između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ostalog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planirano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sufinansiranje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najmanje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četiri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LCUD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ESCO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mehanizmu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BiH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prema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kojem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treba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ulogu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određene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vrste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javnog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ESCO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tim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treba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E13500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preuzme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realizacijom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nema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zakonski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osnov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djelatnostima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koje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sada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imao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kao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realizuje</w:t>
      </w:r>
      <w:r w:rsidR="00497C0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preporuka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uvođenja</w:t>
      </w:r>
      <w:r w:rsidR="007A7A8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obaveze</w:t>
      </w:r>
      <w:r w:rsidR="00CF359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polugodišnjeg</w:t>
      </w:r>
      <w:r w:rsidR="00CF359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izvještavanja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radu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1A123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2C0FD521" w14:textId="77777777" w:rsidR="001A123F" w:rsidRPr="00D90D08" w:rsidRDefault="001A123F" w:rsidP="00B9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767016F2" w14:textId="12CC9626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V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RAZLOZI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DONOŠEN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HITNOM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POSTUPKU</w:t>
      </w:r>
    </w:p>
    <w:p w14:paraId="452D3873" w14:textId="777777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72DB7B67" w14:textId="52963395" w:rsidR="00FA07F9" w:rsidRPr="00D90D08" w:rsidRDefault="00FD55F8" w:rsidP="00D72F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            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213.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Poslovnika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Narodne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skupštine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Republike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Srpske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(„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Službeni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glasnik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Republike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Srpske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“,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broj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66/20)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data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mogućnost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izuzetno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donošenje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hitnom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postupku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slučaju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kada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zakonom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uređuju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pitanja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odnosi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nastali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usljed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okolnosti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koje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nisu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mogle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predvide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nedonošenje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hitnom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postupku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moglo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prouzrokovati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štetne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posljedice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život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zdravlje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ljudi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bezbjednost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Republike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Srpske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rad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organa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organizacija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ako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je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to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opštem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interesu</w:t>
      </w:r>
      <w:r w:rsidR="00FA07F9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14:paraId="691A0046" w14:textId="5BD3D0C6" w:rsidR="00E13500" w:rsidRPr="00D90D08" w:rsidRDefault="00FD55F8" w:rsidP="00D72F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            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vezi</w:t>
      </w:r>
      <w:r w:rsidR="00433B5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433B5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gorenavedenim</w:t>
      </w:r>
      <w:r w:rsidR="00433B5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433B5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slučaju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Fond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proširi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svoju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djelatnost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ukoliko</w:t>
      </w:r>
      <w:r w:rsidR="006B791D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6B791D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ne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uvede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zakonska</w:t>
      </w:r>
      <w:r w:rsidR="00DB23A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obaveza</w:t>
      </w:r>
      <w:r w:rsidR="00DB23A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polugodišnjeg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izvještavanja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radu</w:t>
      </w:r>
      <w:r w:rsidR="007664CE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>,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kako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je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to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predviđeno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čl</w:t>
      </w:r>
      <w:proofErr w:type="spellEnd"/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1.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E13500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2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izmjenama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dopunama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fondu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finansiranju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zaštite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životne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sredine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Republike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Srpske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biće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ugrožena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>/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ili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znatno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otežana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realizacija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finansijskih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aranžmana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koji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ugovoreni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Fondom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>,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prije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svega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realizacija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sredstava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okviru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projekta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URBANLED,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koji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lastRenderedPageBreak/>
        <w:t>sprovodi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saradnji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UNDP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finansira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iz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Globalnog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fonda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životnu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sredinu</w:t>
      </w:r>
      <w:r w:rsidR="00497C0F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>,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kom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slučaju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Fond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snosio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posljedice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koje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mogu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dovedu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potpune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nemogućnosti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realizacije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ovih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finansijskih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aranžmana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što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bi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direktno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reflektovalo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ugrožavanje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opšteg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dobra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interesa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građana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Republike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hAnsi="Times New Roman" w:cs="Times New Roman"/>
          <w:sz w:val="24"/>
          <w:szCs w:val="24"/>
          <w:lang w:val="sr-Cyrl-BA" w:eastAsia="sr-Cyrl-CS"/>
        </w:rPr>
        <w:t>Srpske</w:t>
      </w:r>
      <w:r w:rsidR="00CF359B" w:rsidRPr="00D90D0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25895FF6" w14:textId="77777777" w:rsidR="00834FF5" w:rsidRPr="00D90D08" w:rsidRDefault="00834FF5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223334BD" w14:textId="3526EF40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VI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OBRAZLOŽEN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PREDLOŽENIH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RJEŠEN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</w:p>
    <w:p w14:paraId="217AFE5E" w14:textId="77777777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</w:p>
    <w:p w14:paraId="067D2F79" w14:textId="5BE00547" w:rsidR="00FA07F9" w:rsidRPr="00D90D08" w:rsidRDefault="00FA07F9" w:rsidP="00E425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Članom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utvrđena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izmjena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dopuna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članu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8.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tako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poslije</w:t>
      </w:r>
      <w:r w:rsidR="00E425FF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tačke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đ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dodaje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nova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tačka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</w:t>
      </w:r>
      <w:r w:rsidR="0007419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)</w:t>
      </w:r>
      <w:r w:rsidR="005909F6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izmjena</w:t>
      </w:r>
      <w:r w:rsidR="00A10BD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A10BD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članu</w:t>
      </w:r>
      <w:r w:rsidR="00A10BD5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8.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bila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6B791D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neophodna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kako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imao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zakonski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osnov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vođenje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odnosi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obavljanje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podsticanjem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finansiranjem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obnovljivih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izvora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energije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0B92E7D6" w14:textId="1C0DFE04" w:rsidR="0007419C" w:rsidRPr="00D90D08" w:rsidRDefault="0007419C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Članom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utvrđene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članu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11.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to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4, 6.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A212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9.</w:t>
      </w:r>
      <w:r w:rsidR="0078657E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Ovim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izmjenama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izvršene</w:t>
      </w:r>
      <w:r w:rsidR="00432F3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432F3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nomotehničke</w:t>
      </w:r>
      <w:proofErr w:type="spellEnd"/>
      <w:r w:rsidR="00432F3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korekcije</w:t>
      </w:r>
      <w:r w:rsidR="00432F3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432F3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definisana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obaveza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Fondu</w:t>
      </w:r>
      <w:r w:rsidR="00496C4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496C4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vidu</w:t>
      </w:r>
      <w:r w:rsidR="00496C4C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dostavljanja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izvještaja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radu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5B29DB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finansijskog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izvještaja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Vladi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umjesto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dosadašnjeg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zakonskog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rješenja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kada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izvještaje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dostavljao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Narodnoj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skupštini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omogućava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kontrolu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Vladi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nad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radom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31717A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1DD4BD08" w14:textId="0A73EDE5" w:rsidR="00FA07F9" w:rsidRPr="00D90D08" w:rsidRDefault="006A4888" w:rsidP="009D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Članom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057702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3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propisano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stupanje</w:t>
      </w:r>
      <w:r w:rsidR="009D2EA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9D2EA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snagu</w:t>
      </w:r>
      <w:r w:rsidR="009D2EA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9D2EA7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0564AFE8" w14:textId="77777777" w:rsidR="009D2EA7" w:rsidRPr="00D90D08" w:rsidRDefault="009D2EA7" w:rsidP="009D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02BCFC26" w14:textId="605CD670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VII </w:t>
      </w:r>
      <w:r w:rsidR="00AF6A2B"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 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PROCJENA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UTICAJA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,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DRUGIH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PROPISA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OPŠTIH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AKATA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UVOĐEN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NOVIH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ILI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UKIDAN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POSTOJEĆIH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FORMALNOSTI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KOJE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OPTEREĆUJU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PRIVREDNO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POSLOVAN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</w:t>
      </w:r>
    </w:p>
    <w:p w14:paraId="2721FF5E" w14:textId="77777777" w:rsidR="0007419C" w:rsidRPr="00D90D08" w:rsidRDefault="0007419C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070B00DB" w14:textId="77777777" w:rsidR="00B826AB" w:rsidRPr="00D90D08" w:rsidRDefault="00B826AB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7536AD3D" w14:textId="23FB79BB" w:rsidR="00D90D08" w:rsidRPr="00142411" w:rsidRDefault="006A4888" w:rsidP="00142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Uvidom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sprovedeni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proces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metodologije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kratke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procjene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izmjenama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dopunama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proofErr w:type="spellStart"/>
      <w:r w:rsidR="00884D42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št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ite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hitnom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postupku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privrede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preduzetništva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Mišljenju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broj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: 18.06-020-3631/22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decembra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godine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konstatuje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:</w:t>
      </w:r>
    </w:p>
    <w:p w14:paraId="4DA0EB74" w14:textId="6B5C2B81" w:rsidR="00D90D08" w:rsidRPr="00142411" w:rsidRDefault="006A4888" w:rsidP="001424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planiran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programima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Vlade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Narodne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skupštine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godinu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3175A95E" w14:textId="2BDCE0B4" w:rsidR="00D90D08" w:rsidRPr="00142411" w:rsidRDefault="006A4888" w:rsidP="001424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pravilno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analizirao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postojeće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stanje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definisao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problem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Obrascu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skraćenog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PUP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problem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sastavni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dio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Razloga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donoš</w:t>
      </w:r>
      <w:r w:rsidR="00142411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dopunu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“</w:t>
      </w:r>
      <w:r w:rsidR="00D90D08" w:rsidRPr="00142411">
        <w:rPr>
          <w:noProof/>
          <w:lang w:val="sr-Latn-BA" w:eastAsia="sr-Latn-BA"/>
        </w:rPr>
        <w:drawing>
          <wp:inline distT="0" distB="0" distL="0" distR="0" wp14:anchorId="6A5C0028" wp14:editId="667EFEF5">
            <wp:extent cx="18288" cy="15243"/>
            <wp:effectExtent l="0" t="0" r="0" b="0"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4807" w14:textId="02272192" w:rsidR="00D90D08" w:rsidRPr="00142411" w:rsidRDefault="006A4888" w:rsidP="001424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pravilno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definisao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ciljeve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koji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želi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postići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donošenjem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3BAAF5F5" w14:textId="48D00862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konsultacija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sprovedene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interresorne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konsultacije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konsultacije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28AA816F" w14:textId="23C92109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Prilikom</w:t>
      </w:r>
      <w:r w:rsid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utvrđivanja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opcija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rješavanje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problema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regulatorna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promjena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jedina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opcija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rješavanje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problema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ostvarenje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884D4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ciljeva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30345977" w14:textId="7625BFF4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poslovno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okruženje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utvrđuje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preuzima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pružanja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usluga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obavljanja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drugih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</w:t>
      </w:r>
      <w:r w:rsidR="003C40C3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</w:t>
      </w:r>
      <w:r w:rsidR="003C40C3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kih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djelatnosti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revolving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</w:t>
      </w:r>
      <w:proofErr w:type="spellEnd"/>
      <w:r w:rsidR="003C40C3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ijskog</w:t>
      </w:r>
      <w:proofErr w:type="spellEnd"/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modela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jačanjem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kapaciteta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omogućava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nastavak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realizacije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pozit</w:t>
      </w:r>
      <w:proofErr w:type="spellEnd"/>
      <w:r w:rsidR="003C40C3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van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poslovne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subjekte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jer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biti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uključeni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implementaciju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putem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poziva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6358F169" w14:textId="4D191E23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lastRenderedPageBreak/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budžete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ovaj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direktno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budžet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obezbjeđuje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nastavak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finansiranja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Projekta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Republici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Srpskoj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potrebna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finansijska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sredstva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jačanje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kapaciteta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66323869" w14:textId="15BBB5E9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socijalnim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uticajima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nema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direktnih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2FAB0A3C" w14:textId="62693625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vezi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uticajem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naveo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direktan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pozitivan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jer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poboljšava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javnih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objekata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će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smanjenje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potrošnje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energije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smanjenje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emisija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štetnih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gasova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4FB45D76" w14:textId="6ADB492F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pitanju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navodi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odgovornost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primjenu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imaju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prostorno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uređenje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građevinarstvo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ekologiju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Fond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zaštitu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životne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sredine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energetsku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efikasnost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55726483" w14:textId="0722B0FD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Kada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pitanju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ukidanje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formalnosti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naveo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Prijedlog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utvrđuje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uvođenje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nove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formalnosti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izmjenu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ili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ukidanje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postojećih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formalnosti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2086DDF8" w14:textId="6CB7DBB6" w:rsidR="00D90D08" w:rsidRPr="00142411" w:rsidRDefault="006A4888" w:rsidP="001424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Ministarstvo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privrede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preduzetništva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utvrdilo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je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obrađivač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prilikom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primjene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skraćenog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procjene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postupio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skladu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metodologijom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propisanom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t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. </w:t>
      </w:r>
      <w:r w:rsidR="00884D42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VI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 w:rsidR="00884D42">
        <w:rPr>
          <w:rFonts w:ascii="Times New Roman" w:eastAsia="Times New Roman" w:hAnsi="Times New Roman" w:cs="Times New Roman"/>
          <w:sz w:val="24"/>
          <w:szCs w:val="24"/>
          <w:lang w:val="sr-Latn-BA" w:eastAsia="sr-Cyrl-CS"/>
        </w:rPr>
        <w:t>VIII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Odluke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procesa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procjene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uticaja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postupku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izrade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propisa</w:t>
      </w:r>
      <w:r w:rsidR="00D90D08" w:rsidRPr="00142411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4C2C906C" w14:textId="77777777" w:rsidR="00B826AB" w:rsidRPr="00D90D08" w:rsidRDefault="00B826AB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64AD6848" w14:textId="77777777" w:rsidR="00B826AB" w:rsidRPr="00D90D08" w:rsidRDefault="00B826AB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10023F77" w14:textId="397699D5" w:rsidR="00FA07F9" w:rsidRPr="00D90D08" w:rsidRDefault="00FA07F9" w:rsidP="00FA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VIII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FINANSIJSKA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SREDSTVA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EKONOMSKA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OPRAVDANOST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DONOŠEN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Latn-BA" w:eastAsia="sr-Cyrl-CS"/>
        </w:rPr>
        <w:t>J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</w:p>
    <w:p w14:paraId="414970E0" w14:textId="77777777" w:rsidR="00FA07F9" w:rsidRPr="00D90D08" w:rsidRDefault="00FA07F9" w:rsidP="00FA0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</w:p>
    <w:p w14:paraId="397C2781" w14:textId="3C677CDA" w:rsidR="00FA07F9" w:rsidRPr="00D90D08" w:rsidRDefault="006A4888" w:rsidP="00FA0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sprovođenje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ovog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zakona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nisu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potrebna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dodatna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sredstva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iz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budžeta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Republike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Srpske</w:t>
      </w:r>
      <w:r w:rsidR="00FA07F9" w:rsidRPr="00D90D08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.</w:t>
      </w:r>
    </w:p>
    <w:p w14:paraId="6B044971" w14:textId="77777777" w:rsidR="00FA07F9" w:rsidRPr="00D90D08" w:rsidRDefault="00FA07F9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E825C21" w14:textId="77777777" w:rsidR="00F67C1E" w:rsidRPr="00D90D08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A151D02" w14:textId="77777777" w:rsidR="00F67C1E" w:rsidRPr="00D90D08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7067FFC" w14:textId="77777777" w:rsidR="00F67C1E" w:rsidRPr="00D90D08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F68D177" w14:textId="15F865E9" w:rsidR="00F67C1E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56A53D6" w14:textId="0B1F41CA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92B9E66" w14:textId="29689BDA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D2FCA25" w14:textId="1D6AC004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3551360" w14:textId="11D50D04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560FC57" w14:textId="64BD5DAF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FBFF8BC" w14:textId="12B62F4C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24138C5" w14:textId="4B2BC651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963E8DD" w14:textId="38E96584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CE83CC3" w14:textId="246FED71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4F4D167" w14:textId="6F1255F3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D783D18" w14:textId="78CC9842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BFA144F" w14:textId="23EA101D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578F436" w14:textId="6C3DA6FD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43C1CEB" w14:textId="612E1127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F54DE55" w14:textId="35E24290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420666E" w14:textId="2A0654D1" w:rsidR="006A488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FF09B02" w14:textId="77777777" w:rsidR="006A4888" w:rsidRPr="00D90D08" w:rsidRDefault="006A4888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338CA26" w14:textId="0A3DAAAE" w:rsidR="00F67C1E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AC989CF" w14:textId="20B8B7AC" w:rsidR="00142411" w:rsidRDefault="00142411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96B037E" w14:textId="77777777" w:rsidR="00142411" w:rsidRPr="00D90D08" w:rsidRDefault="00142411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E796970" w14:textId="309EBEFC" w:rsidR="00F67C1E" w:rsidRPr="00D90D08" w:rsidRDefault="006A4888" w:rsidP="00F67C1E">
      <w:pPr>
        <w:tabs>
          <w:tab w:val="center" w:pos="7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lastRenderedPageBreak/>
        <w:t>PRILOG</w:t>
      </w:r>
    </w:p>
    <w:p w14:paraId="12CED89D" w14:textId="77777777" w:rsidR="005C44C3" w:rsidRPr="00D90D08" w:rsidRDefault="005C44C3" w:rsidP="00F67C1E">
      <w:pPr>
        <w:tabs>
          <w:tab w:val="center" w:pos="7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14:paraId="2458BA4E" w14:textId="709DAE0C" w:rsidR="005C44C3" w:rsidRPr="00D90D08" w:rsidRDefault="006A4888" w:rsidP="005C44C3">
      <w:pPr>
        <w:tabs>
          <w:tab w:val="center" w:pos="7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ZAKON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FONDU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ŽIVOTNE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SREDINE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REPUBLIKE</w:t>
      </w:r>
      <w:r w:rsidR="005C44C3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SRPSKE</w:t>
      </w:r>
    </w:p>
    <w:p w14:paraId="7AF00FCF" w14:textId="3FF1364A" w:rsidR="004610C2" w:rsidRPr="00D90D08" w:rsidRDefault="004610C2" w:rsidP="004610C2">
      <w:pPr>
        <w:tabs>
          <w:tab w:val="center" w:pos="7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Tekst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predloženih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izmjena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dopuna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ugrađen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tekst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</w:p>
    <w:p w14:paraId="669B715B" w14:textId="77777777" w:rsidR="00827B86" w:rsidRPr="00D90D08" w:rsidRDefault="00827B86" w:rsidP="00827B86">
      <w:pPr>
        <w:tabs>
          <w:tab w:val="center" w:pos="7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458A552" w14:textId="5E63A826" w:rsidR="00827B86" w:rsidRPr="00D90D08" w:rsidRDefault="006A4888" w:rsidP="00827B86">
      <w:pPr>
        <w:tabs>
          <w:tab w:val="center" w:pos="7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2F6FDE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</w:t>
      </w:r>
    </w:p>
    <w:p w14:paraId="07CB1EE6" w14:textId="77777777" w:rsidR="00F67C1E" w:rsidRPr="00D90D08" w:rsidRDefault="00F67C1E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66D0472" w14:textId="53AFE2F9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Djelatnost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Fonda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obuhvata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prikupljanjem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pripreme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razvoja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sličnih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aktivnosti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oblasti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očuvanja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održivog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unapređivanja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oblasti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naročito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6F50474D" w14:textId="1F1D7FA4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stručne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upravljanjem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Fonda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75CC5685" w14:textId="0FCFEF20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iniciranje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posredovanje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kontrolu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djelokruga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Fonda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3B202EC4" w14:textId="7859D25F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posredovanje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organizacija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institucija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tijela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stranih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fizičkih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lica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5CAEF82F" w14:textId="546626C5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kontinuirano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praćenje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ostalih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aktivnosti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kroz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mjerljive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efekte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ušteđene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novca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smanjenje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emisije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zagađivača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3F73FAE4" w14:textId="4CBFD63C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odvojenih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baza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sličnim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aktivnostima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područja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raspoloživim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njihovo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5F6CD22B" w14:textId="70659EC4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đ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uspostavljanje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saradnje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domaćim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institucijama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fizičkim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licima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radi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interesima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strateškim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dokumentima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akcionim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sanacionim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planovima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planovima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ugovorima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225B26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namjene</w:t>
      </w:r>
      <w:r w:rsidR="00225B26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utvrđene</w:t>
      </w:r>
      <w:r w:rsidR="00225B26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225B26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225B26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,</w:t>
      </w:r>
    </w:p>
    <w:p w14:paraId="6CC7B78D" w14:textId="69C80703" w:rsidR="00225B26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</w:t>
      </w:r>
      <w:r w:rsidR="00C15C22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  <w:r w:rsidR="008C0FD4" w:rsidRPr="00D90D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pružanje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finansijskih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usluga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obavljanje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drugih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finansijskih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djelatnosti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vezi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sa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podsticanjem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finansiranjem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zaštite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životne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sredine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energetske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efikasnosti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obnovljivih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izvora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="008C0FD4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,</w:t>
      </w:r>
    </w:p>
    <w:p w14:paraId="44D986B2" w14:textId="034C8FB5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ž</w:t>
      </w:r>
      <w:r w:rsidR="00225B26"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  <w:r w:rsidR="00225B26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obavljanje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poslova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finansiranjem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utvrđenih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regulišu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energetska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izvori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681138D9" w14:textId="77777777" w:rsidR="00C15C22" w:rsidRPr="00D90D08" w:rsidRDefault="00C15C22" w:rsidP="00F617B4">
      <w:pPr>
        <w:tabs>
          <w:tab w:val="center" w:pos="7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7BEC308" w14:textId="54463814" w:rsidR="00C15C22" w:rsidRPr="00D90D08" w:rsidRDefault="006A4888" w:rsidP="00C15C22">
      <w:pPr>
        <w:tabs>
          <w:tab w:val="center" w:pos="7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C15C22"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11.</w:t>
      </w:r>
    </w:p>
    <w:p w14:paraId="6C4D00D1" w14:textId="77777777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12535F4" w14:textId="30C7E903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(1)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srednjoročni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6B93BE5C" w14:textId="4FC2B26F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(2)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Srednjoročnim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pravac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dinamika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politika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kraći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tri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DFABEC5" w14:textId="2295D127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(3)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daje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srednjoročni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pribavljena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mišljenja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37753C0C" w14:textId="672C8710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(4)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narednu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kalendarsku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278D5FD8" w14:textId="67EC1D8B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(5)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daje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pribavljena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mišljenja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5A29FE2" w14:textId="08E978DA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(6)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izvršenju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finansijskog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Fond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Vladi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usvajanje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posredstvom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pribavljeno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mišljenje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ADC86B3" w14:textId="0F69CAA8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(7)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kvantitativni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prikaz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ostvarenih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ušteđene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novca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smanjenja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emisije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zagađivača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9288CEA" w14:textId="40855B70" w:rsidR="007C181D" w:rsidRPr="00D90D08" w:rsidRDefault="007C181D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(8)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finansijskom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planu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izvještajima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odvojeno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prikazuju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D90D0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23B2F202" w14:textId="035B126F" w:rsidR="000F6953" w:rsidRPr="00D90D08" w:rsidRDefault="000F6953" w:rsidP="007C181D">
      <w:pPr>
        <w:tabs>
          <w:tab w:val="center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(9)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Fond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redovno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podnosi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polugodišnji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izvještaj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svom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radu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finansijski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izvještaj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8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Vladi</w:t>
      </w:r>
      <w:r w:rsidRPr="00D90D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sectPr w:rsidR="000F6953" w:rsidRPr="00D90D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4" style="width:8.85pt;height:3.1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A003499"/>
    <w:multiLevelType w:val="hybridMultilevel"/>
    <w:tmpl w:val="325E89F4"/>
    <w:lvl w:ilvl="0" w:tplc="D414A4CC">
      <w:start w:val="1"/>
      <w:numFmt w:val="bullet"/>
      <w:lvlText w:val="•"/>
      <w:lvlPicBulletId w:val="0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3EDC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4550E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DF60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C3E0E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000B4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C88F6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2635C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B400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85890"/>
    <w:multiLevelType w:val="hybridMultilevel"/>
    <w:tmpl w:val="7E621B42"/>
    <w:lvl w:ilvl="0" w:tplc="5F86F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19D"/>
    <w:multiLevelType w:val="hybridMultilevel"/>
    <w:tmpl w:val="7AD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78A2"/>
    <w:multiLevelType w:val="hybridMultilevel"/>
    <w:tmpl w:val="84C60220"/>
    <w:lvl w:ilvl="0" w:tplc="954890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B4"/>
    <w:rsid w:val="00003EEF"/>
    <w:rsid w:val="00035C77"/>
    <w:rsid w:val="00057702"/>
    <w:rsid w:val="0007419C"/>
    <w:rsid w:val="000847F0"/>
    <w:rsid w:val="00084CE1"/>
    <w:rsid w:val="000B7A13"/>
    <w:rsid w:val="000D09DB"/>
    <w:rsid w:val="000E0AA8"/>
    <w:rsid w:val="000F6953"/>
    <w:rsid w:val="00142411"/>
    <w:rsid w:val="00194491"/>
    <w:rsid w:val="00195D8F"/>
    <w:rsid w:val="001A123F"/>
    <w:rsid w:val="001B3CC6"/>
    <w:rsid w:val="001F590C"/>
    <w:rsid w:val="00213E42"/>
    <w:rsid w:val="00225B26"/>
    <w:rsid w:val="00226054"/>
    <w:rsid w:val="00255453"/>
    <w:rsid w:val="00285952"/>
    <w:rsid w:val="002B564C"/>
    <w:rsid w:val="002F30E4"/>
    <w:rsid w:val="002F6FDE"/>
    <w:rsid w:val="00310488"/>
    <w:rsid w:val="003138D3"/>
    <w:rsid w:val="0031717A"/>
    <w:rsid w:val="003575F8"/>
    <w:rsid w:val="00367665"/>
    <w:rsid w:val="003B255B"/>
    <w:rsid w:val="003C40C3"/>
    <w:rsid w:val="003C5D13"/>
    <w:rsid w:val="003E3DF1"/>
    <w:rsid w:val="0040770C"/>
    <w:rsid w:val="00407CFD"/>
    <w:rsid w:val="00410E80"/>
    <w:rsid w:val="004170B1"/>
    <w:rsid w:val="004211C3"/>
    <w:rsid w:val="00427620"/>
    <w:rsid w:val="00432F37"/>
    <w:rsid w:val="00433B50"/>
    <w:rsid w:val="004610C2"/>
    <w:rsid w:val="00463AF8"/>
    <w:rsid w:val="0047269C"/>
    <w:rsid w:val="00483F19"/>
    <w:rsid w:val="004938F0"/>
    <w:rsid w:val="00496C4C"/>
    <w:rsid w:val="00497C0F"/>
    <w:rsid w:val="004A2BF9"/>
    <w:rsid w:val="004C386C"/>
    <w:rsid w:val="00504CB7"/>
    <w:rsid w:val="00510E44"/>
    <w:rsid w:val="005909F6"/>
    <w:rsid w:val="005958E3"/>
    <w:rsid w:val="005B29DB"/>
    <w:rsid w:val="005B3C34"/>
    <w:rsid w:val="005C44C3"/>
    <w:rsid w:val="005F3899"/>
    <w:rsid w:val="005F7065"/>
    <w:rsid w:val="00626107"/>
    <w:rsid w:val="00631CC3"/>
    <w:rsid w:val="0069277F"/>
    <w:rsid w:val="0069286C"/>
    <w:rsid w:val="006A4888"/>
    <w:rsid w:val="006B100A"/>
    <w:rsid w:val="006B791D"/>
    <w:rsid w:val="006E4B56"/>
    <w:rsid w:val="006F1033"/>
    <w:rsid w:val="006F760F"/>
    <w:rsid w:val="00705165"/>
    <w:rsid w:val="007664CE"/>
    <w:rsid w:val="0078657E"/>
    <w:rsid w:val="007A7A8D"/>
    <w:rsid w:val="007C181D"/>
    <w:rsid w:val="007D7A52"/>
    <w:rsid w:val="00800ECB"/>
    <w:rsid w:val="008238D3"/>
    <w:rsid w:val="00827B86"/>
    <w:rsid w:val="00834FF5"/>
    <w:rsid w:val="00840C54"/>
    <w:rsid w:val="008431E7"/>
    <w:rsid w:val="00872071"/>
    <w:rsid w:val="00884D42"/>
    <w:rsid w:val="008B0E49"/>
    <w:rsid w:val="008B728F"/>
    <w:rsid w:val="008C0FD4"/>
    <w:rsid w:val="00901CD5"/>
    <w:rsid w:val="00935C1F"/>
    <w:rsid w:val="009539A4"/>
    <w:rsid w:val="00956B9F"/>
    <w:rsid w:val="00995EBE"/>
    <w:rsid w:val="009A1432"/>
    <w:rsid w:val="009A5364"/>
    <w:rsid w:val="009C3BA0"/>
    <w:rsid w:val="009D0189"/>
    <w:rsid w:val="009D2EA7"/>
    <w:rsid w:val="009E7C72"/>
    <w:rsid w:val="009F6770"/>
    <w:rsid w:val="00A10BD5"/>
    <w:rsid w:val="00A212DB"/>
    <w:rsid w:val="00A840B4"/>
    <w:rsid w:val="00A90780"/>
    <w:rsid w:val="00AC4C62"/>
    <w:rsid w:val="00AE0348"/>
    <w:rsid w:val="00AF6A2B"/>
    <w:rsid w:val="00B50C70"/>
    <w:rsid w:val="00B826AB"/>
    <w:rsid w:val="00B932DC"/>
    <w:rsid w:val="00BB0E84"/>
    <w:rsid w:val="00BF61B1"/>
    <w:rsid w:val="00C067B6"/>
    <w:rsid w:val="00C15C22"/>
    <w:rsid w:val="00C336AB"/>
    <w:rsid w:val="00C61AA8"/>
    <w:rsid w:val="00C95DE3"/>
    <w:rsid w:val="00CA6C9E"/>
    <w:rsid w:val="00CB5167"/>
    <w:rsid w:val="00CD4B98"/>
    <w:rsid w:val="00CE16C2"/>
    <w:rsid w:val="00CF359B"/>
    <w:rsid w:val="00D121B9"/>
    <w:rsid w:val="00D72F71"/>
    <w:rsid w:val="00D8103B"/>
    <w:rsid w:val="00D90D08"/>
    <w:rsid w:val="00DA3172"/>
    <w:rsid w:val="00DB23A0"/>
    <w:rsid w:val="00DB58F6"/>
    <w:rsid w:val="00E13500"/>
    <w:rsid w:val="00E27CA3"/>
    <w:rsid w:val="00E425FF"/>
    <w:rsid w:val="00E71727"/>
    <w:rsid w:val="00E92133"/>
    <w:rsid w:val="00EC51F2"/>
    <w:rsid w:val="00F018AA"/>
    <w:rsid w:val="00F04182"/>
    <w:rsid w:val="00F2131B"/>
    <w:rsid w:val="00F54E92"/>
    <w:rsid w:val="00F617B4"/>
    <w:rsid w:val="00F67C1E"/>
    <w:rsid w:val="00F74FFC"/>
    <w:rsid w:val="00F871BC"/>
    <w:rsid w:val="00F95D9C"/>
    <w:rsid w:val="00FA07F9"/>
    <w:rsid w:val="00FC02F8"/>
    <w:rsid w:val="00FD4BB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4811"/>
  <w15:docId w15:val="{E2A355ED-E9A6-4FCB-B399-94509094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E3"/>
    <w:pPr>
      <w:ind w:left="720"/>
      <w:contextualSpacing/>
    </w:pPr>
  </w:style>
  <w:style w:type="paragraph" w:styleId="NoSpacing">
    <w:name w:val="No Spacing"/>
    <w:uiPriority w:val="1"/>
    <w:qFormat/>
    <w:rsid w:val="00D72F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9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zastitu zivotne sredine i ee RS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Savkovic</dc:creator>
  <cp:lastModifiedBy>Danijela Vasic</cp:lastModifiedBy>
  <cp:revision>6</cp:revision>
  <cp:lastPrinted>2022-12-07T07:14:00Z</cp:lastPrinted>
  <dcterms:created xsi:type="dcterms:W3CDTF">2022-12-16T11:12:00Z</dcterms:created>
  <dcterms:modified xsi:type="dcterms:W3CDTF">2022-12-16T11:37:00Z</dcterms:modified>
</cp:coreProperties>
</file>