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239FC" w14:textId="3550CE5E" w:rsidR="007C33DB" w:rsidRPr="007C33DB" w:rsidRDefault="007C33DB" w:rsidP="007C33DB">
      <w:pPr>
        <w:spacing w:after="0" w:line="240" w:lineRule="auto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NARODNA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SKUPŠTINA</w:t>
      </w:r>
    </w:p>
    <w:p w14:paraId="206726A1" w14:textId="3746DCE7" w:rsidR="007C33DB" w:rsidRPr="007C33DB" w:rsidRDefault="007C33DB" w:rsidP="007C33DB">
      <w:pPr>
        <w:spacing w:after="0" w:line="240" w:lineRule="auto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SRPSKE</w:t>
      </w:r>
    </w:p>
    <w:p w14:paraId="3041BD2A" w14:textId="52CDE20A" w:rsidR="007C33DB" w:rsidRPr="007C33DB" w:rsidRDefault="007C33DB" w:rsidP="007C33DB">
      <w:pPr>
        <w:spacing w:after="0" w:line="240" w:lineRule="auto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BOJAN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KRESOJEVIĆ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narodni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poslanik</w:t>
      </w:r>
    </w:p>
    <w:p w14:paraId="6502C375" w14:textId="77777777" w:rsidR="007C33DB" w:rsidRPr="007C33DB" w:rsidRDefault="007C33DB" w:rsidP="007C33DB">
      <w:pPr>
        <w:jc w:val="right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3611391E" w14:textId="463A3A1D" w:rsidR="007C33DB" w:rsidRPr="007C33DB" w:rsidRDefault="007C33DB" w:rsidP="007C33DB">
      <w:pPr>
        <w:jc w:val="right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NACRT</w:t>
      </w:r>
    </w:p>
    <w:p w14:paraId="4DC91707" w14:textId="77777777" w:rsidR="007C33DB" w:rsidRPr="007C33DB" w:rsidRDefault="007C33DB" w:rsidP="007C33DB">
      <w:pPr>
        <w:jc w:val="right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36854D4C" w14:textId="77777777" w:rsidR="007C33DB" w:rsidRPr="007C33DB" w:rsidRDefault="007C33DB" w:rsidP="007C33DB">
      <w:pPr>
        <w:jc w:val="right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32F329B6" w14:textId="77777777" w:rsidR="007C33DB" w:rsidRPr="007C33DB" w:rsidRDefault="007C33DB" w:rsidP="007C33DB">
      <w:pPr>
        <w:jc w:val="right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3594016F" w14:textId="77777777" w:rsidR="007C33DB" w:rsidRPr="007C33DB" w:rsidRDefault="007C33DB" w:rsidP="007C33DB">
      <w:pPr>
        <w:jc w:val="right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0A07E2C2" w14:textId="77777777" w:rsidR="007C33DB" w:rsidRPr="007C33DB" w:rsidRDefault="007C33DB" w:rsidP="007C33DB">
      <w:pPr>
        <w:jc w:val="right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6B92E160" w14:textId="77777777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7CDD02DA" w14:textId="77777777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</w:p>
    <w:p w14:paraId="45C36373" w14:textId="6503CBC5" w:rsidR="007C33DB" w:rsidRPr="007C33DB" w:rsidRDefault="007C33DB" w:rsidP="007C33DB">
      <w:pPr>
        <w:pStyle w:val="Title"/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ZAKON</w:t>
      </w:r>
    </w:p>
    <w:p w14:paraId="73CB0F29" w14:textId="2B1BE03F" w:rsidR="007C33DB" w:rsidRPr="007C33DB" w:rsidRDefault="007C33DB" w:rsidP="007C33DB">
      <w:pPr>
        <w:pStyle w:val="Title"/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ZABRANI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FAŠIZMA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NACIZMA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NEONACIZMA</w:t>
      </w:r>
    </w:p>
    <w:p w14:paraId="501196AC" w14:textId="77777777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</w:p>
    <w:p w14:paraId="4DCE2B36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795C9194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6F49C83C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7C938E2B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43C208DF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05DB3998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463D22E2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32700774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0EDAAE55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765EA767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284900EC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13B523CC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272AF638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36348328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179873F2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4EA4B94B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20655CCC" w14:textId="4ABA4891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Banja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Luka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mart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2026.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godine</w:t>
      </w:r>
    </w:p>
    <w:p w14:paraId="6BA5BCD2" w14:textId="3775F4F6" w:rsidR="007C33DB" w:rsidRPr="007C33DB" w:rsidRDefault="007C33DB" w:rsidP="007C33DB">
      <w:pPr>
        <w:jc w:val="right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lastRenderedPageBreak/>
        <w:t>NACRT</w:t>
      </w:r>
    </w:p>
    <w:p w14:paraId="5049C5C4" w14:textId="77777777" w:rsidR="007C33DB" w:rsidRPr="007C33DB" w:rsidRDefault="007C33DB" w:rsidP="007C33DB">
      <w:pPr>
        <w:spacing w:after="0"/>
        <w:rPr>
          <w:rFonts w:ascii="Cambria" w:hAnsi="Cambria"/>
          <w:b/>
          <w:noProof/>
          <w:sz w:val="24"/>
          <w:szCs w:val="24"/>
          <w:lang w:val="sr-Latn-CS"/>
        </w:rPr>
      </w:pPr>
    </w:p>
    <w:p w14:paraId="3934C53F" w14:textId="2213984B" w:rsidR="007C33DB" w:rsidRPr="007C33DB" w:rsidRDefault="007C33DB" w:rsidP="007C33DB">
      <w:pPr>
        <w:pStyle w:val="Title"/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ZAKON</w:t>
      </w:r>
    </w:p>
    <w:p w14:paraId="387FE1F2" w14:textId="3E4249DD" w:rsidR="007C33DB" w:rsidRPr="007C33DB" w:rsidRDefault="007C33DB" w:rsidP="007C33DB">
      <w:pPr>
        <w:pStyle w:val="Title"/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ZABRANI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FAŠIZMA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NACIZMA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NEONACIZMA</w:t>
      </w:r>
    </w:p>
    <w:p w14:paraId="1D0BD583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6A0AB8D6" w14:textId="016EAFF8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OPŠTE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ODREDBE</w:t>
      </w:r>
    </w:p>
    <w:p w14:paraId="3861D710" w14:textId="0607EBF1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Predmet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zakona</w:t>
      </w:r>
    </w:p>
    <w:p w14:paraId="1C845B2E" w14:textId="5AD26D23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1. </w:t>
      </w:r>
    </w:p>
    <w:p w14:paraId="1CAAA970" w14:textId="55C914FD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propisuje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zabrana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veličanja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opravdavanja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zabrana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upotrebe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njihovih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obilježja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utvrđuju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sankcije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radi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zaštite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poretka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mira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ljudskog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dostojanstva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5A32EA3A" w14:textId="45015E69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Pojmovno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određenje</w:t>
      </w:r>
    </w:p>
    <w:p w14:paraId="6E50AA47" w14:textId="1F110828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2. </w:t>
      </w:r>
    </w:p>
    <w:p w14:paraId="27A1659F" w14:textId="680C690B" w:rsidR="007C33DB" w:rsidRPr="007C33DB" w:rsidRDefault="007C33DB" w:rsidP="007C33DB">
      <w:pPr>
        <w:pStyle w:val="ListParagraph"/>
        <w:numPr>
          <w:ilvl w:val="0"/>
          <w:numId w:val="1"/>
        </w:num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Fašizmom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nacizmom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neonacizmom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smislu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smatraju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ideologije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pokreti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zasnovani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rasnoj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etničkoj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drugoj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supremaciji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sistemskoj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diskriminaciji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progonu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nasilju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negiraju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ravnopravnost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demokratski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poredak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75C45A1A" w14:textId="7EE52771" w:rsidR="007C33DB" w:rsidRPr="007C33DB" w:rsidRDefault="007C33DB" w:rsidP="007C33DB">
      <w:pPr>
        <w:pStyle w:val="ListParagraph"/>
        <w:numPr>
          <w:ilvl w:val="0"/>
          <w:numId w:val="1"/>
        </w:num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obilježjima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stava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1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smatraju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znaci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oznake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slogani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pozdravi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zastave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amblemi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druga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znamenja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nedvosmisleno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povezana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fašističkim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nacističkim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neonacističkim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pokretima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08C19361" w14:textId="26D02BDD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KRIVIČNA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DJELA</w:t>
      </w:r>
    </w:p>
    <w:p w14:paraId="053FB480" w14:textId="701F9E4A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Propagiranje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fašizma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nacizma</w:t>
      </w:r>
    </w:p>
    <w:p w14:paraId="77FC582E" w14:textId="6FD82CD1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3. </w:t>
      </w:r>
    </w:p>
    <w:p w14:paraId="26CFDA11" w14:textId="46A774C8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veliča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opravdava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propagira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fašizam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nacizam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neonacizam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kazniće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kaznom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zatvora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šest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mjeseci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tri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godine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0EED93AC" w14:textId="7425D949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Zabranjena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upotreba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simbola</w:t>
      </w:r>
    </w:p>
    <w:p w14:paraId="4B46EAA0" w14:textId="00732706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4. </w:t>
      </w:r>
    </w:p>
    <w:p w14:paraId="7AA3DE5A" w14:textId="29A67D56" w:rsidR="007C33DB" w:rsidRPr="007C33DB" w:rsidRDefault="007C33DB" w:rsidP="007C33DB">
      <w:pPr>
        <w:pStyle w:val="ListParagraph"/>
        <w:numPr>
          <w:ilvl w:val="0"/>
          <w:numId w:val="2"/>
        </w:num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ističe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koristi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izgovara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proizvodi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umnožava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drugi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način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čini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dostupnim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obilježja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znakove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slogane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pozdrave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nedvosmisleno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povezane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fašističkim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nacističkim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neonacističkim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pokretima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radi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njihove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promocije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opravdavanja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rehabilitacije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kazniće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kaznom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zatvora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tri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mjeseca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tri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godine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novčanom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kaznom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7B9627EA" w14:textId="304B40F7" w:rsidR="007C33DB" w:rsidRPr="007C33DB" w:rsidRDefault="007C33DB" w:rsidP="007C33DB">
      <w:pPr>
        <w:pStyle w:val="ListParagraph"/>
        <w:numPr>
          <w:ilvl w:val="0"/>
          <w:numId w:val="2"/>
        </w:num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stava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1.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postoji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učinilac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započne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inicira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drugi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način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podstakne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korišćenje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slogana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pozdrava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stava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1.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ukoliko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obzirom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okolnosti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slučaja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bio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svjestan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će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takvo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postupanje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dovesti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njihovog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dovršavanja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masovnog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prihvatanja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4A863AB6" w14:textId="70D64A71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lastRenderedPageBreak/>
        <w:t>Kvalifikovani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oblik</w:t>
      </w:r>
    </w:p>
    <w:p w14:paraId="1A8737F4" w14:textId="75510958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5. </w:t>
      </w:r>
    </w:p>
    <w:p w14:paraId="507A4B54" w14:textId="57A676E0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. 3.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4.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učinjeno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putem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medija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informaciono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-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komunikacionih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mreža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skupu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prostorijama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obrazovne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ustanove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drugom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mjestu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posebnog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društvenog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značaja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izvršeno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organizovanom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obliku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dio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aktivnosti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grupe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učinilac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će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kazniti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kaznom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zatvora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jedne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osam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godina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7EA8BE7D" w14:textId="51125D1B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Oduzimanje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predmeta</w:t>
      </w:r>
    </w:p>
    <w:p w14:paraId="2AA0AD9C" w14:textId="7D799FF1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6. </w:t>
      </w:r>
    </w:p>
    <w:p w14:paraId="7130F83C" w14:textId="0EC1D3FB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Predmeti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namijenjeni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upotrijebljeni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izvršenje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predmeti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nastali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njihovim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izvršenjem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oduzeće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7EB00955" w14:textId="4C0E5F26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IZUZECI</w:t>
      </w:r>
    </w:p>
    <w:p w14:paraId="426305AE" w14:textId="7F544366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7.</w:t>
      </w:r>
    </w:p>
    <w:p w14:paraId="6BDDAB2A" w14:textId="2496926B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Odredbe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primjenjuju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upotrebu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sadržaja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svrhe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naučnog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istraživanja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obrazovanja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muzejske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arhivske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djelatnosti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uslovom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okolnosti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slučaja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proizlazi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postoji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namjera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opravdavanja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31FC6AFC" w14:textId="45310568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NADLEŽNOST</w:t>
      </w:r>
    </w:p>
    <w:p w14:paraId="3BA121C9" w14:textId="66AAE05B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8.</w:t>
      </w:r>
    </w:p>
    <w:p w14:paraId="2F99E680" w14:textId="66CEDAE7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nadležni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sudovi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skladu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uređuje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postupak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3E2C851B" w14:textId="77777777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</w:p>
    <w:p w14:paraId="4CFB3706" w14:textId="7FF83FF2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STUPANJE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SNAGU</w:t>
      </w:r>
    </w:p>
    <w:p w14:paraId="5C7AAF54" w14:textId="4A4F7C0A" w:rsidR="007C33DB" w:rsidRPr="007C33DB" w:rsidRDefault="007C33DB" w:rsidP="007C33DB">
      <w:pPr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Član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9.</w:t>
      </w:r>
    </w:p>
    <w:p w14:paraId="69A514A9" w14:textId="7C375629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Ovaj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stupa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snagu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osmog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objavljivanja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„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Službenom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glasniku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“.</w:t>
      </w:r>
    </w:p>
    <w:p w14:paraId="7D168DDA" w14:textId="77777777" w:rsidR="007C33DB" w:rsidRPr="007C33DB" w:rsidRDefault="007C33DB" w:rsidP="007C33DB">
      <w:pPr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</w:p>
    <w:p w14:paraId="654CEB10" w14:textId="6E2A6C27" w:rsidR="007C33DB" w:rsidRPr="007C33DB" w:rsidRDefault="007C33DB" w:rsidP="007C33DB">
      <w:pPr>
        <w:spacing w:after="0" w:line="240" w:lineRule="auto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Broj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: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  <w:t xml:space="preserve">    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PREDSJEDNIK</w:t>
      </w:r>
    </w:p>
    <w:p w14:paraId="52E2C337" w14:textId="1A4917D9" w:rsidR="007C33DB" w:rsidRPr="007C33DB" w:rsidRDefault="007C33DB" w:rsidP="007C33DB">
      <w:pPr>
        <w:spacing w:after="0" w:line="240" w:lineRule="auto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Datum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: 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ab/>
        <w:t xml:space="preserve">         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NARODNE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SKUPŠTINE</w:t>
      </w:r>
    </w:p>
    <w:p w14:paraId="6067FF3A" w14:textId="77777777" w:rsidR="007C33DB" w:rsidRPr="007C33DB" w:rsidRDefault="007C33DB" w:rsidP="007C33DB">
      <w:pPr>
        <w:spacing w:after="0" w:line="240" w:lineRule="auto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</w:p>
    <w:p w14:paraId="10B743A4" w14:textId="1AEAE07D" w:rsidR="007C33DB" w:rsidRPr="007C33DB" w:rsidRDefault="007C33DB" w:rsidP="007C33DB">
      <w:pPr>
        <w:spacing w:after="0" w:line="240" w:lineRule="auto"/>
        <w:jc w:val="center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                                                                                                                  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Nenad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Stevandić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br w:type="page"/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lastRenderedPageBreak/>
        <w:t>OBRAZLOŽENJE</w:t>
      </w:r>
    </w:p>
    <w:p w14:paraId="61AAAFCF" w14:textId="3D3FC0E2" w:rsidR="007C33DB" w:rsidRPr="007C33DB" w:rsidRDefault="007C33DB" w:rsidP="007C33DB">
      <w:pPr>
        <w:pStyle w:val="Title"/>
        <w:jc w:val="center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NACRTA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ZABRANI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FAŠIZMA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NACIZMA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NEONACIZMA</w:t>
      </w:r>
    </w:p>
    <w:p w14:paraId="6C27921B" w14:textId="77777777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</w:p>
    <w:p w14:paraId="451D03F4" w14:textId="028472B4" w:rsidR="007C33DB" w:rsidRPr="007C33DB" w:rsidRDefault="007C33DB" w:rsidP="007C33DB">
      <w:pPr>
        <w:pStyle w:val="Heading1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I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USTAVNI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OSNOV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DONOŠENJE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ZAKONA</w:t>
      </w:r>
    </w:p>
    <w:p w14:paraId="052D8215" w14:textId="77777777" w:rsidR="007C33DB" w:rsidRPr="007C33DB" w:rsidRDefault="007C33DB" w:rsidP="007C33DB">
      <w:pPr>
        <w:jc w:val="both"/>
        <w:rPr>
          <w:noProof/>
          <w:color w:val="000000" w:themeColor="text1"/>
          <w:lang w:val="sr-Latn-CS"/>
        </w:rPr>
      </w:pPr>
    </w:p>
    <w:p w14:paraId="3DE41C52" w14:textId="228808FD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osnov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donošenje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sadržan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odredbama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utvrđuje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demokratska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zajednica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zasnovana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vladavini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zaštiti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ljudskih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sloboda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ravnopravnosti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građana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očuvanju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mira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731F5492" w14:textId="691ED950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68.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utvrđeno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uređuje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obezbjeđuje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poredak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bezbjednost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ostvarivanje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zaštitu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ljudskih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sloboda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druge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odnose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značaja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funkcionisanje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sistema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zaštitu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mira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13FC5CA1" w14:textId="294F3969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10.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utvrđuje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ravnopravnost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građana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zabrana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diskriminacije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bilo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osnovu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dok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članovi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11, 13.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14.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garantuju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zaštitu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ljudskog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dostojanstva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sloboda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čovjeka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537A3C11" w14:textId="3B5DF27B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Polazeći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navedenih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ustavnih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odredaba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nadležnost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uredi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pitanja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zaštite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demokratskog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poretka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mira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sprečavanja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ideologija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zasnovane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rasnoj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etničkoj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supremaciji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diskriminaciji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nasilju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135F3F21" w14:textId="7A3990AA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Donošenjem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Narodna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skupština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ostvaruje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svoju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ustavnu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nadležnost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pravnim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normama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štiti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demokratsko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uređenje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dostojanstvo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građana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stabilnost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društva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48059E7E" w14:textId="090DC891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okviru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poretka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uspostavljenog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Opštim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okvirnim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sporazumom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mir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Bosni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Hercegovini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nadležnost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uređuje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pitanja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zakonodavstva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mira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zaštite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poretka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1A9E28E2" w14:textId="3D035541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Shodno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navedenom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Narodna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skupština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ovlašćena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donese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poseban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radi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zaštite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demokratskog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uređenja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prostora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ideologija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svojoj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prirodi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suprotne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temeljnim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ustavnim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vrijednostima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4093292A" w14:textId="24D9B6C6" w:rsidR="007C33DB" w:rsidRPr="007C33DB" w:rsidRDefault="007C33DB" w:rsidP="007C33DB">
      <w:pPr>
        <w:pStyle w:val="Heading1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II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MIŠLJENJE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VLADE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SRPSKE</w:t>
      </w:r>
    </w:p>
    <w:p w14:paraId="689EF989" w14:textId="3DC6F935" w:rsidR="007C33DB" w:rsidRPr="007C33DB" w:rsidRDefault="007C33DB" w:rsidP="007C33DB">
      <w:pPr>
        <w:pStyle w:val="Heading1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III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RAZLOZI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DONOŠENJE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ZAKONA</w:t>
      </w:r>
    </w:p>
    <w:p w14:paraId="35D7EF56" w14:textId="77777777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</w:p>
    <w:p w14:paraId="380585AB" w14:textId="253A2B5A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Fašizam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nacizam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neonacizam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predstavljaju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ideologije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istorijski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zasnovane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rasnoj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etničkoj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supremaciji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sistemskoj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diskriminaciji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progonu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masovnom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nasilju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prostoru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Evrope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Balkana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sebe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ostavile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logore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istrebljenja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masovna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ubistva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pokušaje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brisanja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čitavih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naroda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zajednica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46E5B947" w14:textId="53B49BA2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Narodi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danas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žive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Bosni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Hercegovini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žrtve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fašističkog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nacističkog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terora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Antifašistička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borba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predstavlja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istorijsko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moralno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nasljeđe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jednu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temeljnih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civilizacijskih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vrijednosti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savremenog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demokratskog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poretka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7601AF8F" w14:textId="78AC53EE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lastRenderedPageBreak/>
        <w:t>Iako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zakonik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već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sadrži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odredbe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sankcioniše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izazivanje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podsticanje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nasilja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mržnje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praksa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pokazuje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određeni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oblici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veličanja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simboličke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rehabilitacije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fašističkih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nacističkih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ideologija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ostaju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izvan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dovoljno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preciznog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normativnog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obuhvata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Ekstremizam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danas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često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ispoljava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kroz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upotrebu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slogana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retorike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sadrži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neposredan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poziv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nasilje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stvara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ambijent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netrpeljivosti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relativizacije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zločina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istorijskog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revizionizma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39B8E7D4" w14:textId="07E17402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Savremeni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evropski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pravni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sistemi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poznaju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posebne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mehanizme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zabranjuje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upotreba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fašističkih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nacističkih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propaganda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takvih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ideologija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Donošenjem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jasno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potvrđuje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svoju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opredijeljenost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demokratski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poredak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mir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poštovanje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dostojanstva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svih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građana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05A272A1" w14:textId="4ED65F40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Ovim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ograničava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sloboda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naučnog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istraživanja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obrazovanja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muzejske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arhivske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djelatnosti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formulisan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tako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sankcioniše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isključivo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propagandu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rehabilitaciju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strogo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poštovanje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načela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zakonitosti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proporcionalnosti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44145052" w14:textId="558BA14D" w:rsidR="007C33DB" w:rsidRPr="007C33DB" w:rsidRDefault="007C33DB" w:rsidP="007C33DB">
      <w:pPr>
        <w:pStyle w:val="Heading1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IV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OBRAZLOŽENJE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PREDLOŽENIH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RJEŠENJA</w:t>
      </w:r>
    </w:p>
    <w:p w14:paraId="5A5A3EB7" w14:textId="77777777" w:rsidR="007C33DB" w:rsidRPr="007C33DB" w:rsidRDefault="007C33DB" w:rsidP="007C33DB">
      <w:pPr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</w:p>
    <w:p w14:paraId="5324E605" w14:textId="2839D93B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1.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utvrđuje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predmet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odnosno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jasno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definiše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odnosi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zabranu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upotrebe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propisivanje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sankcija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49992B1A" w14:textId="5373CA99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2.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pojmovno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određenje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ideologija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odnosi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kako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obezbijedila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pravna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sigurnost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izbjegla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proizvoljna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primjena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141763C2" w14:textId="250079C8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Članovima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3.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4.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propisuju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veličanja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opravdavanja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propagiranja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fašizma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nacizma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neonacizma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upotreba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njihovih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simbola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slogana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Posebno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propisano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postoji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učinilac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svjesno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inicira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podstakne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korišćenje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takvih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slogana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605ABEC0" w14:textId="1F519A45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5.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predviđen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kvalifikovani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oblik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kada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izvršeno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putem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medija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informaciono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-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komunikacionih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mreža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javnom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skupu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ili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organizovanom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obliku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1454AB36" w14:textId="5F464D30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6.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uređuje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obavezno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oduzimanje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predmeta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korišćeni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izvršenje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krivičnog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djela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0F38F9D5" w14:textId="633C4072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Članom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7.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propisuje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izuzetak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naučne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obrazovne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muzejske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arhivske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svrhe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uz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uslov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postoji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namjera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propagande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6402EEC1" w14:textId="77777777" w:rsidR="007C33DB" w:rsidRPr="007C33DB" w:rsidRDefault="007C33DB" w:rsidP="007C33DB">
      <w:pPr>
        <w:jc w:val="both"/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</w:pPr>
    </w:p>
    <w:p w14:paraId="5F8E58A6" w14:textId="1CFC3E3E" w:rsidR="007C33DB" w:rsidRPr="007C33DB" w:rsidRDefault="007C33DB" w:rsidP="007C33DB">
      <w:pPr>
        <w:jc w:val="both"/>
        <w:rPr>
          <w:rFonts w:ascii="Cambria" w:hAnsi="Cambria" w:cs="Calibri"/>
          <w:b/>
          <w:noProof/>
          <w:color w:val="000000"/>
          <w:sz w:val="24"/>
          <w:szCs w:val="24"/>
          <w:lang w:val="sr-Latn-CS"/>
        </w:rPr>
      </w:pP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V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FINANSIJSKA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SREDSTVA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PROCJENA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EKONOMSKE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OPRAVDANOSTI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DONOŠENJA</w:t>
      </w:r>
      <w:r w:rsidRPr="007C33DB"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b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 w:cs="Calibri"/>
          <w:b/>
          <w:noProof/>
          <w:color w:val="000000"/>
          <w:sz w:val="24"/>
          <w:szCs w:val="24"/>
          <w:lang w:val="sr-Latn-CS"/>
        </w:rPr>
        <w:t xml:space="preserve"> </w:t>
      </w:r>
    </w:p>
    <w:p w14:paraId="4E7D650C" w14:textId="568D4A43" w:rsidR="007C33DB" w:rsidRPr="007C33DB" w:rsidRDefault="007C33DB" w:rsidP="007C33DB">
      <w:pPr>
        <w:ind w:firstLine="720"/>
        <w:jc w:val="both"/>
        <w:rPr>
          <w:rFonts w:ascii="Cambria" w:hAnsi="Cambria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sprovođenje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ovog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zakona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nije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potrebno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obezbijediti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dodatna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sredstva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budžetu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Republike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Srpske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jer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će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se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njegova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primjena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vršiti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okviru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postojećih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nadležnosti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sudova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,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tužilaštava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i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organa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unutrašnjih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poslova</w:t>
      </w:r>
      <w:r w:rsidRPr="007C33DB">
        <w:rPr>
          <w:rFonts w:ascii="Cambria" w:hAnsi="Cambria"/>
          <w:noProof/>
          <w:color w:val="000000" w:themeColor="text1"/>
          <w:sz w:val="24"/>
          <w:szCs w:val="24"/>
          <w:lang w:val="sr-Latn-CS"/>
        </w:rPr>
        <w:t>.</w:t>
      </w:r>
    </w:p>
    <w:p w14:paraId="44563E26" w14:textId="77777777" w:rsidR="000655E2" w:rsidRPr="007C33DB" w:rsidRDefault="000655E2" w:rsidP="007C33DB">
      <w:pPr>
        <w:rPr>
          <w:noProof/>
          <w:lang w:val="sr-Latn-CS"/>
        </w:rPr>
      </w:pPr>
      <w:bookmarkStart w:id="0" w:name="_GoBack"/>
      <w:bookmarkEnd w:id="0"/>
    </w:p>
    <w:sectPr w:rsidR="000655E2" w:rsidRPr="007C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E428C"/>
    <w:multiLevelType w:val="hybridMultilevel"/>
    <w:tmpl w:val="73A2B0B4"/>
    <w:lvl w:ilvl="0" w:tplc="005C0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D7104"/>
    <w:multiLevelType w:val="hybridMultilevel"/>
    <w:tmpl w:val="8A5A3672"/>
    <w:lvl w:ilvl="0" w:tplc="8E4444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FA"/>
    <w:rsid w:val="000655E2"/>
    <w:rsid w:val="002A6663"/>
    <w:rsid w:val="00444A85"/>
    <w:rsid w:val="007C33DB"/>
    <w:rsid w:val="009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C705"/>
  <w15:chartTrackingRefBased/>
  <w15:docId w15:val="{1E93E49A-BEFB-4C97-9D09-9FD12CAD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663"/>
    <w:rPr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6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bs-Latn-B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A66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63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  <w14:ligatures w14:val="none"/>
    </w:rPr>
  </w:style>
  <w:style w:type="paragraph" w:styleId="ListParagraph">
    <w:name w:val="List Paragraph"/>
    <w:basedOn w:val="Normal"/>
    <w:uiPriority w:val="34"/>
    <w:qFormat/>
    <w:rsid w:val="002A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1206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Djajic</dc:creator>
  <cp:keywords/>
  <dc:description/>
  <cp:lastModifiedBy>Gordana Djajic</cp:lastModifiedBy>
  <cp:revision>3</cp:revision>
  <dcterms:created xsi:type="dcterms:W3CDTF">2026-03-03T12:48:00Z</dcterms:created>
  <dcterms:modified xsi:type="dcterms:W3CDTF">2026-03-13T08:54:00Z</dcterms:modified>
</cp:coreProperties>
</file>